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339A" w14:textId="77777777" w:rsidR="003E04CD" w:rsidRDefault="003E04CD"/>
    <w:p w14:paraId="2E2F7FBA" w14:textId="77777777" w:rsidR="003E04CD" w:rsidRDefault="003E04CD"/>
    <w:p w14:paraId="6F43C1CF" w14:textId="77777777" w:rsidR="003E04CD" w:rsidRDefault="003E04CD"/>
    <w:p w14:paraId="156F07BB" w14:textId="77777777" w:rsidR="003E04CD" w:rsidRDefault="003E04CD"/>
    <w:p w14:paraId="5F884934" w14:textId="77777777" w:rsidR="003E04CD" w:rsidRDefault="003E04CD"/>
    <w:p w14:paraId="0A6D398B" w14:textId="77777777" w:rsidR="003E04CD" w:rsidRDefault="003E04CD"/>
    <w:p w14:paraId="1B454152" w14:textId="77777777" w:rsidR="003E04CD" w:rsidRDefault="003E04CD"/>
    <w:p w14:paraId="4AE7A6A1" w14:textId="77777777" w:rsidR="003E04CD" w:rsidRDefault="003E04CD"/>
    <w:p w14:paraId="33F03F0A" w14:textId="77777777" w:rsidR="003E04CD" w:rsidRDefault="00DC45FF">
      <w:pPr>
        <w:pStyle w:val="Nzov"/>
      </w:pPr>
      <w:r>
        <w:t>Vizsgaszabályzat és eljárási rend</w:t>
      </w:r>
    </w:p>
    <w:p w14:paraId="22AF203A" w14:textId="77777777" w:rsidR="003E04CD" w:rsidRDefault="00DC45FF">
      <w:pPr>
        <w:pStyle w:val="Podtitul"/>
      </w:pPr>
      <w:proofErr w:type="spellStart"/>
      <w:r>
        <w:t>RailLog</w:t>
      </w:r>
      <w:proofErr w:type="spellEnd"/>
      <w:r>
        <w:t xml:space="preserve"> s.r.o.</w:t>
      </w:r>
    </w:p>
    <w:p w14:paraId="33741063" w14:textId="77777777" w:rsidR="003E04CD" w:rsidRDefault="003E04CD">
      <w:pPr>
        <w:pStyle w:val="Zkladntext"/>
      </w:pPr>
    </w:p>
    <w:p w14:paraId="06A56C1A" w14:textId="77777777" w:rsidR="003E04CD" w:rsidRDefault="003E04CD">
      <w:pPr>
        <w:pStyle w:val="Zkladntext"/>
      </w:pPr>
    </w:p>
    <w:p w14:paraId="1330D586" w14:textId="77777777" w:rsidR="003E04CD" w:rsidRDefault="003E04CD">
      <w:pPr>
        <w:pStyle w:val="Zkladntext"/>
      </w:pPr>
    </w:p>
    <w:p w14:paraId="537C325F" w14:textId="77777777" w:rsidR="003E04CD" w:rsidRDefault="003E04CD">
      <w:pPr>
        <w:pStyle w:val="Zkladntext"/>
      </w:pPr>
    </w:p>
    <w:p w14:paraId="5EA5454B" w14:textId="77777777" w:rsidR="003E04CD" w:rsidRDefault="003E04CD">
      <w:pPr>
        <w:pStyle w:val="Zkladntext"/>
      </w:pPr>
    </w:p>
    <w:p w14:paraId="056045D6" w14:textId="77777777" w:rsidR="003E04CD" w:rsidRDefault="003E04CD">
      <w:pPr>
        <w:pStyle w:val="Zkladntext"/>
      </w:pPr>
    </w:p>
    <w:p w14:paraId="5963D252" w14:textId="77777777" w:rsidR="003E04CD" w:rsidRDefault="003E04CD">
      <w:pPr>
        <w:pStyle w:val="Zkladntext"/>
      </w:pPr>
    </w:p>
    <w:p w14:paraId="65887ABD" w14:textId="77777777" w:rsidR="003E04CD" w:rsidRDefault="003E04CD">
      <w:pPr>
        <w:pStyle w:val="Zkladntext"/>
      </w:pPr>
    </w:p>
    <w:p w14:paraId="3FD99487" w14:textId="32CA4C9F" w:rsidR="003E04CD" w:rsidRDefault="00DC45FF">
      <w:pPr>
        <w:pStyle w:val="Zkladntext"/>
      </w:pPr>
      <w:r>
        <w:t xml:space="preserve">2024. </w:t>
      </w:r>
      <w:r w:rsidR="00CA7557">
        <w:t>december. 15.</w:t>
      </w:r>
    </w:p>
    <w:p w14:paraId="1923E027" w14:textId="77777777" w:rsidR="003E04CD" w:rsidRDefault="003E04CD">
      <w:pPr>
        <w:pStyle w:val="Zkladntext"/>
      </w:pPr>
    </w:p>
    <w:p w14:paraId="105AFB3B" w14:textId="77777777" w:rsidR="003E04CD" w:rsidRDefault="003E04CD">
      <w:pPr>
        <w:pStyle w:val="Zkladntext"/>
      </w:pPr>
    </w:p>
    <w:p w14:paraId="0D64CFB8" w14:textId="77777777" w:rsidR="003E04CD" w:rsidRDefault="003E04CD">
      <w:pPr>
        <w:pStyle w:val="Zkladntext"/>
      </w:pPr>
    </w:p>
    <w:p w14:paraId="6F816BAE" w14:textId="71108128" w:rsidR="003E04CD" w:rsidRDefault="00DC45FF">
      <w:pPr>
        <w:pStyle w:val="Zkladntext"/>
      </w:pPr>
      <w:r>
        <w:t xml:space="preserve">Jóváhagyta az </w:t>
      </w:r>
      <w:r w:rsidR="006A1164">
        <w:t>Építési és Közlekedési</w:t>
      </w:r>
      <w:r>
        <w:t xml:space="preserve"> Minisztérium</w:t>
      </w:r>
    </w:p>
    <w:p w14:paraId="530CE7FF" w14:textId="77777777" w:rsidR="003E04CD" w:rsidRDefault="00DC45FF">
      <w:pPr>
        <w:pStyle w:val="Zkladntext"/>
      </w:pPr>
      <w:r>
        <w:t>Jóváhagyás száma:</w:t>
      </w:r>
    </w:p>
    <w:p w14:paraId="312D1028" w14:textId="77777777" w:rsidR="003E04CD" w:rsidRDefault="00DC45FF">
      <w:pPr>
        <w:sectPr w:rsidR="003E04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br w:type="page"/>
      </w:r>
    </w:p>
    <w:sdt>
      <w:sdtPr>
        <w:rPr>
          <w:rFonts w:ascii="Liberation Serif" w:eastAsia="Noto Serif CJK SC" w:hAnsi="Liberation Serif"/>
          <w:b w:val="0"/>
          <w:bCs w:val="0"/>
          <w:sz w:val="24"/>
          <w:szCs w:val="24"/>
        </w:rPr>
        <w:id w:val="-19851436"/>
        <w:docPartObj>
          <w:docPartGallery w:val="Table of Contents"/>
          <w:docPartUnique/>
        </w:docPartObj>
      </w:sdtPr>
      <w:sdtEndPr/>
      <w:sdtContent>
        <w:p w14:paraId="28D1A54D" w14:textId="77777777" w:rsidR="003E04CD" w:rsidRDefault="00DC45FF">
          <w:pPr>
            <w:pStyle w:val="Hlavikaobsahu"/>
          </w:pPr>
          <w:r>
            <w:t>Tartalom</w:t>
          </w:r>
        </w:p>
        <w:p w14:paraId="0DBF3B7D" w14:textId="77777777" w:rsidR="003E04CD" w:rsidRDefault="003E04CD">
          <w:pPr>
            <w:pStyle w:val="Obsah1"/>
          </w:pPr>
          <w:r>
            <w:fldChar w:fldCharType="begin"/>
          </w:r>
          <w:r>
            <w:rPr>
              <w:rStyle w:val="IndexLink"/>
            </w:rPr>
            <w:instrText xml:space="preserve"> TOC \f \o "1-9" \t "Heading 1,1,Heading 2,2" \h</w:instrText>
          </w:r>
          <w:r>
            <w:rPr>
              <w:rStyle w:val="IndexLink"/>
            </w:rPr>
            <w:fldChar w:fldCharType="separate"/>
          </w:r>
          <w:hyperlink w:anchor="__RefHeading___Toc4989_4278059951">
            <w:r>
              <w:rPr>
                <w:rStyle w:val="IndexLink"/>
              </w:rPr>
              <w:t>1. A vizsgaszabályzat és eljárási rend alkalmazása</w:t>
            </w:r>
            <w:r>
              <w:rPr>
                <w:rStyle w:val="IndexLink"/>
              </w:rPr>
              <w:tab/>
              <w:t>2</w:t>
            </w:r>
          </w:hyperlink>
        </w:p>
        <w:p w14:paraId="7C59ECF1" w14:textId="77777777" w:rsidR="003E04CD" w:rsidRDefault="003E04CD">
          <w:pPr>
            <w:pStyle w:val="Obsah2"/>
          </w:pPr>
          <w:hyperlink w:anchor="__RefHeading___Toc4991_4278059951">
            <w:r>
              <w:rPr>
                <w:rStyle w:val="IndexLink"/>
              </w:rPr>
              <w:t>1.1. A vizsgaszabályzat és eljárási rend hatálya</w:t>
            </w:r>
            <w:r>
              <w:rPr>
                <w:rStyle w:val="IndexLink"/>
              </w:rPr>
              <w:tab/>
              <w:t>2</w:t>
            </w:r>
          </w:hyperlink>
        </w:p>
        <w:p w14:paraId="20E3E525" w14:textId="77777777" w:rsidR="003E04CD" w:rsidRDefault="003E04CD">
          <w:pPr>
            <w:pStyle w:val="Obsah1"/>
          </w:pPr>
          <w:hyperlink w:anchor="__RefHeading___Toc4993_4278059951">
            <w:r>
              <w:rPr>
                <w:rStyle w:val="IndexLink"/>
              </w:rPr>
              <w:t>2. A vasúti társaság elérhetősége</w:t>
            </w:r>
            <w:r>
              <w:rPr>
                <w:rStyle w:val="IndexLink"/>
              </w:rPr>
              <w:tab/>
              <w:t>2</w:t>
            </w:r>
          </w:hyperlink>
        </w:p>
        <w:p w14:paraId="61DA7F33" w14:textId="77777777" w:rsidR="003E04CD" w:rsidRDefault="003E04CD">
          <w:pPr>
            <w:pStyle w:val="Obsah2"/>
          </w:pPr>
          <w:hyperlink w:anchor="__RefHeading___Toc4995_4278059951">
            <w:r>
              <w:rPr>
                <w:rStyle w:val="IndexLink"/>
              </w:rPr>
              <w:t>2.1. Elérhetőségek</w:t>
            </w:r>
            <w:r>
              <w:rPr>
                <w:rStyle w:val="IndexLink"/>
              </w:rPr>
              <w:tab/>
              <w:t>2</w:t>
            </w:r>
          </w:hyperlink>
        </w:p>
        <w:p w14:paraId="164EC1AA" w14:textId="77777777" w:rsidR="003E04CD" w:rsidRDefault="003E04CD">
          <w:pPr>
            <w:pStyle w:val="Obsah2"/>
          </w:pPr>
          <w:hyperlink w:anchor="__RefHeading___Toc4997_4278059951">
            <w:r>
              <w:rPr>
                <w:rStyle w:val="IndexLink"/>
              </w:rPr>
              <w:t>2.2. A személyes ügyfélfogadás rendje</w:t>
            </w:r>
            <w:r>
              <w:rPr>
                <w:rStyle w:val="IndexLink"/>
              </w:rPr>
              <w:tab/>
              <w:t>2</w:t>
            </w:r>
          </w:hyperlink>
        </w:p>
        <w:p w14:paraId="66684D14" w14:textId="77777777" w:rsidR="003E04CD" w:rsidRDefault="003E04CD">
          <w:pPr>
            <w:pStyle w:val="Obsah1"/>
          </w:pPr>
          <w:hyperlink w:anchor="__RefHeading___Toc4999_4278059951">
            <w:r>
              <w:rPr>
                <w:rStyle w:val="IndexLink"/>
              </w:rPr>
              <w:t>3. Másodlatok kiállítása</w:t>
            </w:r>
            <w:r>
              <w:rPr>
                <w:rStyle w:val="IndexLink"/>
              </w:rPr>
              <w:tab/>
              <w:t>3</w:t>
            </w:r>
          </w:hyperlink>
        </w:p>
        <w:p w14:paraId="4A61EC8E" w14:textId="77777777" w:rsidR="003E04CD" w:rsidRDefault="003E04CD">
          <w:pPr>
            <w:pStyle w:val="Obsah1"/>
          </w:pPr>
          <w:hyperlink w:anchor="__RefHeading___Toc5001_4278059951">
            <w:r>
              <w:rPr>
                <w:rStyle w:val="IndexLink"/>
              </w:rPr>
              <w:t>4. Alapvizsgára bocsátás és bejelentés feltételeinek ellenőrzése</w:t>
            </w:r>
            <w:r>
              <w:rPr>
                <w:rStyle w:val="IndexLink"/>
              </w:rPr>
              <w:tab/>
              <w:t>3</w:t>
            </w:r>
          </w:hyperlink>
        </w:p>
        <w:p w14:paraId="29BCD9D5" w14:textId="77777777" w:rsidR="003E04CD" w:rsidRDefault="003E04CD">
          <w:pPr>
            <w:pStyle w:val="Obsah1"/>
          </w:pPr>
          <w:hyperlink w:anchor="__RefHeading___Toc5003_4278059951">
            <w:r>
              <w:rPr>
                <w:rStyle w:val="IndexLink"/>
              </w:rPr>
              <w:t>5. Elővizsgát követő alapvizsgák</w:t>
            </w:r>
            <w:r>
              <w:rPr>
                <w:rStyle w:val="IndexLink"/>
              </w:rPr>
              <w:tab/>
              <w:t>3</w:t>
            </w:r>
          </w:hyperlink>
        </w:p>
        <w:p w14:paraId="4CFD767A" w14:textId="77777777" w:rsidR="003E04CD" w:rsidRDefault="003E04CD">
          <w:pPr>
            <w:pStyle w:val="Obsah1"/>
          </w:pPr>
          <w:hyperlink w:anchor="__RefHeading___Toc5005_4278059951">
            <w:r>
              <w:rPr>
                <w:rStyle w:val="IndexLink"/>
              </w:rPr>
              <w:t>6. Részalapvizsgák</w:t>
            </w:r>
            <w:r>
              <w:rPr>
                <w:rStyle w:val="IndexLink"/>
              </w:rPr>
              <w:tab/>
              <w:t>4</w:t>
            </w:r>
          </w:hyperlink>
        </w:p>
        <w:p w14:paraId="32B705B5" w14:textId="77777777" w:rsidR="003E04CD" w:rsidRDefault="003E04CD">
          <w:pPr>
            <w:pStyle w:val="Obsah1"/>
          </w:pPr>
          <w:hyperlink w:anchor="__RefHeading___Toc5007_4278059951">
            <w:r>
              <w:rPr>
                <w:rStyle w:val="IndexLink"/>
              </w:rPr>
              <w:t>7. Eltérés vizsgák</w:t>
            </w:r>
            <w:r>
              <w:rPr>
                <w:rStyle w:val="IndexLink"/>
              </w:rPr>
              <w:tab/>
              <w:t>4</w:t>
            </w:r>
          </w:hyperlink>
        </w:p>
        <w:p w14:paraId="3262ACFF" w14:textId="77777777" w:rsidR="003E04CD" w:rsidRDefault="003E04CD">
          <w:pPr>
            <w:pStyle w:val="Obsah1"/>
          </w:pPr>
          <w:hyperlink w:anchor="__RefHeading___Toc5009_4278059951">
            <w:r>
              <w:rPr>
                <w:rStyle w:val="IndexLink"/>
              </w:rPr>
              <w:t>8. Az időszakos vizsga szervezése</w:t>
            </w:r>
            <w:r>
              <w:rPr>
                <w:rStyle w:val="IndexLink"/>
              </w:rPr>
              <w:tab/>
              <w:t>4</w:t>
            </w:r>
          </w:hyperlink>
        </w:p>
        <w:p w14:paraId="0E938DFA" w14:textId="77777777" w:rsidR="003E04CD" w:rsidRDefault="003E04CD">
          <w:pPr>
            <w:pStyle w:val="Obsah1"/>
          </w:pPr>
          <w:hyperlink w:anchor="__RefHeading___Toc5011_4278059951">
            <w:r>
              <w:rPr>
                <w:rStyle w:val="IndexLink"/>
              </w:rPr>
              <w:t>9. Soron kívüli időszakos vizsga szervezése</w:t>
            </w:r>
            <w:r>
              <w:rPr>
                <w:rStyle w:val="IndexLink"/>
              </w:rPr>
              <w:tab/>
              <w:t>4</w:t>
            </w:r>
          </w:hyperlink>
        </w:p>
        <w:p w14:paraId="4DBA7368" w14:textId="77777777" w:rsidR="003E04CD" w:rsidRDefault="003E04CD">
          <w:pPr>
            <w:pStyle w:val="Obsah1"/>
          </w:pPr>
          <w:hyperlink w:anchor="__RefHeading___Toc5013_4278059951">
            <w:r>
              <w:rPr>
                <w:rStyle w:val="IndexLink"/>
              </w:rPr>
              <w:t>10. A vizsgahelyszín és a vizsgaidőpont kijelölése</w:t>
            </w:r>
            <w:r>
              <w:rPr>
                <w:rStyle w:val="IndexLink"/>
              </w:rPr>
              <w:tab/>
              <w:t>4</w:t>
            </w:r>
          </w:hyperlink>
        </w:p>
        <w:p w14:paraId="04EA307B" w14:textId="77777777" w:rsidR="003E04CD" w:rsidRDefault="003E04CD">
          <w:pPr>
            <w:pStyle w:val="Obsah1"/>
          </w:pPr>
          <w:hyperlink w:anchor="__RefHeading___Toc5015_4278059951">
            <w:r>
              <w:rPr>
                <w:rStyle w:val="IndexLink"/>
              </w:rPr>
              <w:t>11. A vizsgabiztos kijelölése</w:t>
            </w:r>
            <w:r>
              <w:rPr>
                <w:rStyle w:val="IndexLink"/>
              </w:rPr>
              <w:tab/>
              <w:t>4</w:t>
            </w:r>
          </w:hyperlink>
        </w:p>
        <w:p w14:paraId="27528E0A" w14:textId="77777777" w:rsidR="003E04CD" w:rsidRDefault="003E04CD">
          <w:pPr>
            <w:pStyle w:val="Obsah1"/>
          </w:pPr>
          <w:hyperlink w:anchor="__RefHeading___Toc5017_4278059951">
            <w:r>
              <w:rPr>
                <w:rStyle w:val="IndexLink"/>
              </w:rPr>
              <w:t>12. A vizsgák előkészítese, bejelentése</w:t>
            </w:r>
            <w:r>
              <w:rPr>
                <w:rStyle w:val="IndexLink"/>
              </w:rPr>
              <w:tab/>
              <w:t>4</w:t>
            </w:r>
          </w:hyperlink>
        </w:p>
        <w:p w14:paraId="251FE7AE" w14:textId="77777777" w:rsidR="003E04CD" w:rsidRDefault="003E04CD">
          <w:pPr>
            <w:pStyle w:val="Obsah1"/>
          </w:pPr>
          <w:hyperlink w:anchor="__RefHeading___Toc5019_4278059951">
            <w:r>
              <w:rPr>
                <w:rStyle w:val="IndexLink"/>
              </w:rPr>
              <w:t>13. A vizsgahelységek komfortja és felszereltsége</w:t>
            </w:r>
            <w:r>
              <w:rPr>
                <w:rStyle w:val="IndexLink"/>
              </w:rPr>
              <w:tab/>
              <w:t>5</w:t>
            </w:r>
          </w:hyperlink>
        </w:p>
        <w:p w14:paraId="5407D414" w14:textId="77777777" w:rsidR="003E04CD" w:rsidRDefault="003E04CD">
          <w:pPr>
            <w:pStyle w:val="Obsah2"/>
          </w:pPr>
          <w:hyperlink w:anchor="__RefHeading___Toc2233_1301632659">
            <w:r>
              <w:rPr>
                <w:rStyle w:val="IndexLink"/>
              </w:rPr>
              <w:t>13.1. Szóbeli vizsgatevékenység esetén</w:t>
            </w:r>
            <w:r>
              <w:rPr>
                <w:rStyle w:val="IndexLink"/>
              </w:rPr>
              <w:tab/>
              <w:t>5</w:t>
            </w:r>
          </w:hyperlink>
        </w:p>
        <w:p w14:paraId="4B5FE340" w14:textId="77777777" w:rsidR="003E04CD" w:rsidRDefault="003E04CD">
          <w:pPr>
            <w:pStyle w:val="Obsah2"/>
          </w:pPr>
          <w:hyperlink w:anchor="__RefHeading___Toc2235_1301632659">
            <w:r>
              <w:rPr>
                <w:rStyle w:val="IndexLink"/>
              </w:rPr>
              <w:t>13.2. Gyakorlati vizsgatevékenység esetén</w:t>
            </w:r>
            <w:r>
              <w:rPr>
                <w:rStyle w:val="IndexLink"/>
              </w:rPr>
              <w:tab/>
              <w:t>5</w:t>
            </w:r>
          </w:hyperlink>
        </w:p>
        <w:p w14:paraId="389DDBE0" w14:textId="77777777" w:rsidR="003E04CD" w:rsidRDefault="003E04CD">
          <w:pPr>
            <w:pStyle w:val="Obsah1"/>
          </w:pPr>
          <w:hyperlink w:anchor="__RefHeading___Toc5021_4278059951">
            <w:r>
              <w:rPr>
                <w:rStyle w:val="IndexLink"/>
              </w:rPr>
              <w:t>14. Eljárás, ha a vizsgahelyiségek komfortja és felszereltsége nem megfelelő</w:t>
            </w:r>
            <w:r>
              <w:rPr>
                <w:rStyle w:val="IndexLink"/>
              </w:rPr>
              <w:tab/>
              <w:t>6</w:t>
            </w:r>
          </w:hyperlink>
        </w:p>
        <w:p w14:paraId="1B09011C" w14:textId="77777777" w:rsidR="003E04CD" w:rsidRDefault="003E04CD">
          <w:pPr>
            <w:pStyle w:val="Obsah1"/>
          </w:pPr>
          <w:hyperlink w:anchor="__RefHeading___Toc5023_4278059951">
            <w:r>
              <w:rPr>
                <w:rStyle w:val="IndexLink"/>
              </w:rPr>
              <w:t>15. A vizsgabiztos feladatai</w:t>
            </w:r>
            <w:r>
              <w:rPr>
                <w:rStyle w:val="IndexLink"/>
              </w:rPr>
              <w:tab/>
              <w:t>6</w:t>
            </w:r>
          </w:hyperlink>
        </w:p>
        <w:p w14:paraId="437C55C1" w14:textId="77777777" w:rsidR="003E04CD" w:rsidRDefault="003E04CD">
          <w:pPr>
            <w:pStyle w:val="Obsah2"/>
          </w:pPr>
          <w:hyperlink w:anchor="__RefHeading___Toc533_2538148565">
            <w:r>
              <w:rPr>
                <w:rStyle w:val="IndexLink"/>
              </w:rPr>
              <w:t>15.1. Teendők a vizsga megkezdése előtt</w:t>
            </w:r>
            <w:r>
              <w:rPr>
                <w:rStyle w:val="IndexLink"/>
              </w:rPr>
              <w:tab/>
              <w:t>6</w:t>
            </w:r>
          </w:hyperlink>
        </w:p>
        <w:p w14:paraId="13F2AB00" w14:textId="77777777" w:rsidR="003E04CD" w:rsidRDefault="003E04CD">
          <w:pPr>
            <w:pStyle w:val="Obsah2"/>
          </w:pPr>
          <w:hyperlink w:anchor="__RefHeading___Toc535_2538148565">
            <w:r>
              <w:rPr>
                <w:rStyle w:val="IndexLink"/>
              </w:rPr>
              <w:t>15.2. Teendők a vizsgatevékenységek során</w:t>
            </w:r>
            <w:r>
              <w:rPr>
                <w:rStyle w:val="IndexLink"/>
              </w:rPr>
              <w:tab/>
              <w:t>7</w:t>
            </w:r>
          </w:hyperlink>
        </w:p>
        <w:p w14:paraId="5F96E954" w14:textId="77777777" w:rsidR="003E04CD" w:rsidRDefault="003E04CD">
          <w:pPr>
            <w:pStyle w:val="Obsah2"/>
          </w:pPr>
          <w:hyperlink w:anchor="__RefHeading___Toc537_2538148565">
            <w:r>
              <w:rPr>
                <w:rStyle w:val="IndexLink"/>
              </w:rPr>
              <w:t>15.3. Teendők a vizsga befejezése után</w:t>
            </w:r>
            <w:r>
              <w:rPr>
                <w:rStyle w:val="IndexLink"/>
              </w:rPr>
              <w:tab/>
              <w:t>7</w:t>
            </w:r>
          </w:hyperlink>
        </w:p>
        <w:p w14:paraId="3B821C8C" w14:textId="77777777" w:rsidR="003E04CD" w:rsidRDefault="003E04CD">
          <w:pPr>
            <w:pStyle w:val="Obsah1"/>
          </w:pPr>
          <w:hyperlink w:anchor="__RefHeading___Toc5025_4278059951">
            <w:r>
              <w:rPr>
                <w:rStyle w:val="IndexLink"/>
              </w:rPr>
              <w:t>16. A vizsgáztatást befolyásoló rendkívüli események kezelése</w:t>
            </w:r>
            <w:r>
              <w:rPr>
                <w:rStyle w:val="IndexLink"/>
              </w:rPr>
              <w:tab/>
              <w:t>8</w:t>
            </w:r>
          </w:hyperlink>
        </w:p>
        <w:p w14:paraId="098E0952" w14:textId="77777777" w:rsidR="003E04CD" w:rsidRDefault="003E04CD">
          <w:pPr>
            <w:pStyle w:val="Obsah1"/>
          </w:pPr>
          <w:hyperlink w:anchor="__RefHeading___Toc5027_4278059951">
            <w:r>
              <w:rPr>
                <w:rStyle w:val="IndexLink"/>
              </w:rPr>
              <w:t>17. A vizsgáztató szervezet okmányainak kiállítása</w:t>
            </w:r>
            <w:r>
              <w:rPr>
                <w:rStyle w:val="IndexLink"/>
              </w:rPr>
              <w:tab/>
              <w:t>8</w:t>
            </w:r>
          </w:hyperlink>
        </w:p>
        <w:p w14:paraId="290835D4" w14:textId="77777777" w:rsidR="003E04CD" w:rsidRDefault="003E04CD">
          <w:pPr>
            <w:pStyle w:val="Obsah1"/>
          </w:pPr>
          <w:hyperlink w:anchor="__RefHeading___Toc5029_4278059951">
            <w:r>
              <w:rPr>
                <w:rStyle w:val="IndexLink"/>
              </w:rPr>
              <w:t>18. A vizsgázó vizsgáztatásának felfüggesztése és a vizsgától való eltiltása</w:t>
            </w:r>
            <w:r>
              <w:rPr>
                <w:rStyle w:val="IndexLink"/>
              </w:rPr>
              <w:tab/>
              <w:t>9</w:t>
            </w:r>
          </w:hyperlink>
        </w:p>
        <w:p w14:paraId="3B05D1D8" w14:textId="77777777" w:rsidR="003E04CD" w:rsidRDefault="003E04CD">
          <w:pPr>
            <w:pStyle w:val="Obsah1"/>
          </w:pPr>
          <w:hyperlink w:anchor="__RefHeading___Toc5031_4278059951">
            <w:r>
              <w:rPr>
                <w:rStyle w:val="IndexLink"/>
              </w:rPr>
              <w:t>19. A vizsgán történő részvételi szándék bejelentése</w:t>
            </w:r>
            <w:r>
              <w:rPr>
                <w:rStyle w:val="IndexLink"/>
              </w:rPr>
              <w:tab/>
              <w:t>9</w:t>
            </w:r>
          </w:hyperlink>
        </w:p>
        <w:p w14:paraId="69501E6A" w14:textId="77777777" w:rsidR="003E04CD" w:rsidRDefault="003E04CD">
          <w:pPr>
            <w:pStyle w:val="Obsah1"/>
          </w:pPr>
          <w:hyperlink w:anchor="__RefHeading___Toc5033_4278059951">
            <w:r>
              <w:rPr>
                <w:rStyle w:val="IndexLink"/>
              </w:rPr>
              <w:t>20. A távolmaradás igazolásának formája</w:t>
            </w:r>
            <w:r>
              <w:rPr>
                <w:rStyle w:val="IndexLink"/>
              </w:rPr>
              <w:tab/>
              <w:t>10</w:t>
            </w:r>
          </w:hyperlink>
        </w:p>
        <w:p w14:paraId="41ABA545" w14:textId="77777777" w:rsidR="003E04CD" w:rsidRDefault="003E04CD">
          <w:pPr>
            <w:pStyle w:val="Obsah1"/>
          </w:pPr>
          <w:hyperlink w:anchor="__RefHeading___Toc5035_4278059951">
            <w:r>
              <w:rPr>
                <w:rStyle w:val="IndexLink"/>
              </w:rPr>
              <w:t>21. A vizsgák okmányai</w:t>
            </w:r>
            <w:r>
              <w:rPr>
                <w:rStyle w:val="IndexLink"/>
              </w:rPr>
              <w:tab/>
              <w:t>10</w:t>
            </w:r>
          </w:hyperlink>
        </w:p>
        <w:p w14:paraId="70F01CF5" w14:textId="77777777" w:rsidR="003E04CD" w:rsidRDefault="003E04CD">
          <w:pPr>
            <w:pStyle w:val="Obsah1"/>
          </w:pPr>
          <w:hyperlink w:anchor="__RefHeading___Toc5037_4278059951">
            <w:r>
              <w:rPr>
                <w:rStyle w:val="IndexLink"/>
              </w:rPr>
              <w:t>22. A más vasúti társaságnál vasúti társasági vizsgákon megszerzett képesítések elismerése</w:t>
            </w:r>
            <w:r>
              <w:rPr>
                <w:rStyle w:val="IndexLink"/>
              </w:rPr>
              <w:tab/>
              <w:t>10</w:t>
            </w:r>
          </w:hyperlink>
        </w:p>
        <w:p w14:paraId="4693DB7D" w14:textId="77777777" w:rsidR="003E04CD" w:rsidRDefault="003E04CD">
          <w:pPr>
            <w:pStyle w:val="Obsah2"/>
          </w:pPr>
          <w:hyperlink w:anchor="__RefHeading___Toc881_2072137199">
            <w:r>
              <w:rPr>
                <w:rStyle w:val="IndexLink"/>
              </w:rPr>
              <w:t>22.1. Típusismeret alapvizsga elismerése</w:t>
            </w:r>
            <w:r>
              <w:rPr>
                <w:rStyle w:val="IndexLink"/>
              </w:rPr>
              <w:tab/>
              <w:t>10</w:t>
            </w:r>
          </w:hyperlink>
        </w:p>
        <w:p w14:paraId="3158273F" w14:textId="77777777" w:rsidR="003E04CD" w:rsidRDefault="003E04CD">
          <w:pPr>
            <w:pStyle w:val="Obsah2"/>
          </w:pPr>
          <w:hyperlink w:anchor="__RefHeading___Toc883_2072137199">
            <w:r>
              <w:rPr>
                <w:rStyle w:val="IndexLink"/>
              </w:rPr>
              <w:t>22.2. Vonal-, állomás-, illetve helyismeret alapvizsga elismerése</w:t>
            </w:r>
            <w:r>
              <w:rPr>
                <w:rStyle w:val="IndexLink"/>
              </w:rPr>
              <w:tab/>
              <w:t>10</w:t>
            </w:r>
          </w:hyperlink>
        </w:p>
        <w:p w14:paraId="1DE677C0" w14:textId="77777777" w:rsidR="003E04CD" w:rsidRDefault="003E04CD">
          <w:pPr>
            <w:pStyle w:val="Obsah2"/>
          </w:pPr>
          <w:hyperlink w:anchor="__RefHeading___Toc885_2072137199">
            <w:r>
              <w:rPr>
                <w:rStyle w:val="IndexLink"/>
              </w:rPr>
              <w:t>22.3. Egyéb alapvizsgák elismerése</w:t>
            </w:r>
            <w:r>
              <w:rPr>
                <w:rStyle w:val="IndexLink"/>
              </w:rPr>
              <w:tab/>
              <w:t>11</w:t>
            </w:r>
          </w:hyperlink>
        </w:p>
        <w:p w14:paraId="2D8CCEC0" w14:textId="77777777" w:rsidR="003E04CD" w:rsidRDefault="003E04CD">
          <w:pPr>
            <w:pStyle w:val="Obsah1"/>
          </w:pPr>
          <w:hyperlink w:anchor="__RefHeading___Toc5039_4278059951">
            <w:r>
              <w:rPr>
                <w:rStyle w:val="IndexLink"/>
              </w:rPr>
              <w:t>23. Alapvizsga halasztása</w:t>
            </w:r>
            <w:r>
              <w:rPr>
                <w:rStyle w:val="IndexLink"/>
              </w:rPr>
              <w:tab/>
              <w:t>11</w:t>
            </w:r>
          </w:hyperlink>
        </w:p>
        <w:p w14:paraId="0DE478F7" w14:textId="77777777" w:rsidR="003E04CD" w:rsidRDefault="003E04CD">
          <w:pPr>
            <w:pStyle w:val="Obsah1"/>
          </w:pPr>
          <w:hyperlink w:anchor="__RefHeading___Toc5041_4278059951">
            <w:r>
              <w:rPr>
                <w:rStyle w:val="IndexLink"/>
              </w:rPr>
              <w:t>24. Egyeztetési eljárás</w:t>
            </w:r>
            <w:r>
              <w:rPr>
                <w:rStyle w:val="IndexLink"/>
              </w:rPr>
              <w:tab/>
              <w:t>11</w:t>
            </w:r>
          </w:hyperlink>
        </w:p>
        <w:p w14:paraId="11014DB6" w14:textId="77777777" w:rsidR="003E04CD" w:rsidRDefault="003E04CD">
          <w:pPr>
            <w:pStyle w:val="Obsah1"/>
          </w:pPr>
          <w:hyperlink w:anchor="__RefHeading___Toc5043_4278059951">
            <w:r>
              <w:rPr>
                <w:rStyle w:val="IndexLink"/>
              </w:rPr>
              <w:t>25. A vizsgaszabályzat hatálya, közzététele, módosítása</w:t>
            </w:r>
            <w:r>
              <w:rPr>
                <w:rStyle w:val="IndexLink"/>
              </w:rPr>
              <w:tab/>
              <w:t>11</w:t>
            </w:r>
          </w:hyperlink>
        </w:p>
        <w:p w14:paraId="7A0EF882" w14:textId="77777777" w:rsidR="003E04CD" w:rsidRDefault="003E04CD">
          <w:pPr>
            <w:pStyle w:val="Obsah1"/>
          </w:pPr>
          <w:hyperlink w:anchor="__RefHeading___Toc5045_4278059951">
            <w:r>
              <w:rPr>
                <w:rStyle w:val="IndexLink"/>
              </w:rPr>
              <w:t>26. Függelékek</w:t>
            </w:r>
            <w:r>
              <w:rPr>
                <w:rStyle w:val="IndexLink"/>
              </w:rPr>
              <w:tab/>
              <w:t>12</w:t>
            </w:r>
          </w:hyperlink>
        </w:p>
        <w:p w14:paraId="67673C87" w14:textId="556D5ED6" w:rsidR="003E04CD" w:rsidRDefault="003E04CD">
          <w:pPr>
            <w:pStyle w:val="Obsah1"/>
          </w:pPr>
          <w:hyperlink w:anchor="__RefHeading___Toc5047_4278059951">
            <w:r>
              <w:rPr>
                <w:rStyle w:val="IndexLink"/>
              </w:rPr>
              <w:t>27. Mellékletek</w:t>
            </w:r>
            <w:r>
              <w:rPr>
                <w:rStyle w:val="IndexLink"/>
              </w:rPr>
              <w:tab/>
            </w:r>
            <w:r w:rsidR="006A1164">
              <w:rPr>
                <w:rStyle w:val="IndexLink"/>
              </w:rPr>
              <w:t>13</w:t>
            </w:r>
          </w:hyperlink>
          <w:r>
            <w:rPr>
              <w:rStyle w:val="IndexLink"/>
            </w:rPr>
            <w:fldChar w:fldCharType="end"/>
          </w:r>
        </w:p>
      </w:sdtContent>
    </w:sdt>
    <w:p w14:paraId="48E6B35F" w14:textId="64387A98" w:rsidR="003E04CD" w:rsidRDefault="00DC45FF">
      <w:pPr>
        <w:pStyle w:val="Zkladntext"/>
      </w:pPr>
      <w:r>
        <w:br w:type="page"/>
      </w:r>
      <w:bookmarkStart w:id="0" w:name="__RefHeading___Toc4989_4278059951"/>
      <w:bookmarkEnd w:id="0"/>
    </w:p>
    <w:p w14:paraId="557C1003" w14:textId="77777777" w:rsidR="003E04CD" w:rsidRDefault="00DC45FF">
      <w:pPr>
        <w:pStyle w:val="Nadpis1"/>
      </w:pPr>
      <w:r>
        <w:lastRenderedPageBreak/>
        <w:t>1.</w:t>
      </w:r>
      <w:r>
        <w:tab/>
        <w:t>A vizsgaszabályzat és eljárási rend alkalmazása</w:t>
      </w:r>
    </w:p>
    <w:p w14:paraId="137F2E64" w14:textId="77777777" w:rsidR="003E04CD" w:rsidRDefault="00DC45FF">
      <w:pPr>
        <w:pStyle w:val="Zkladntext"/>
      </w:pPr>
      <w:r>
        <w:t>Az vizsgaszabályzat és eljárási rend a 19/2011. (V. 10.) NFM rendeletben (KR) meghatározott vasúti társasági vizsgák előkészítését és végrehajtását szabályozza.</w:t>
      </w:r>
    </w:p>
    <w:p w14:paraId="11236A01" w14:textId="77777777" w:rsidR="003E04CD" w:rsidRDefault="00DC45FF">
      <w:pPr>
        <w:pStyle w:val="Zkladntext"/>
      </w:pPr>
      <w:r>
        <w:t xml:space="preserve">Az utasítás azokra a kérdéskörökre vonatkozóan tartalmaz előírásokat, amelyek a KR-ben nem </w:t>
      </w:r>
      <w:proofErr w:type="spellStart"/>
      <w:r>
        <w:t>szabályozottak</w:t>
      </w:r>
      <w:proofErr w:type="spellEnd"/>
      <w:r>
        <w:t>.</w:t>
      </w:r>
    </w:p>
    <w:p w14:paraId="16A65A45" w14:textId="77777777" w:rsidR="003E04CD" w:rsidRDefault="00DC45FF">
      <w:pPr>
        <w:pStyle w:val="Nadpis2"/>
      </w:pPr>
      <w:bookmarkStart w:id="1" w:name="__RefHeading___Toc4991_4278059951"/>
      <w:bookmarkEnd w:id="1"/>
      <w:r>
        <w:t>1.1.</w:t>
      </w:r>
      <w:r>
        <w:tab/>
        <w:t>A vizsgaszabályzat és eljárási rend hatálya</w:t>
      </w:r>
    </w:p>
    <w:p w14:paraId="06E1BB7F" w14:textId="77777777" w:rsidR="003E04CD" w:rsidRDefault="00DC45FF">
      <w:pPr>
        <w:pStyle w:val="Zkladntext"/>
        <w:numPr>
          <w:ilvl w:val="0"/>
          <w:numId w:val="2"/>
        </w:numPr>
      </w:pPr>
      <w:r>
        <w:t xml:space="preserve">A vizsgaszabályzat és eljárási rend személyi hatálya a </w:t>
      </w:r>
      <w:proofErr w:type="spellStart"/>
      <w:r>
        <w:t>RailLog</w:t>
      </w:r>
      <w:proofErr w:type="spellEnd"/>
      <w:r>
        <w:t xml:space="preserve"> s.r.o. (RLL) biztonságirányítási rendszerében meghatározott munkakörökben foglalkoztatott személyekre (továbbiakban: vizsgázókra), valamint a vizsga megszervezésében és lebonyolításában közreműködőkre terjed ki.</w:t>
      </w:r>
    </w:p>
    <w:p w14:paraId="1CE2B3FB" w14:textId="77777777" w:rsidR="003E04CD" w:rsidRDefault="00DC45FF">
      <w:pPr>
        <w:pStyle w:val="Zkladntext"/>
        <w:numPr>
          <w:ilvl w:val="0"/>
          <w:numId w:val="2"/>
        </w:numPr>
      </w:pPr>
      <w:r>
        <w:t>A vizsgaszabályzat és eljárási rend területi hatálya Magyarország területe.</w:t>
      </w:r>
    </w:p>
    <w:p w14:paraId="401F6A8B" w14:textId="77777777" w:rsidR="003E04CD" w:rsidRDefault="00DC45FF">
      <w:pPr>
        <w:pStyle w:val="Zkladntext"/>
        <w:numPr>
          <w:ilvl w:val="0"/>
          <w:numId w:val="2"/>
        </w:numPr>
      </w:pPr>
      <w:r>
        <w:t>A vizsgaszabályzat és eljárási rend tárgyi hatálya a KR-ben előírt szabályozásokra vonatkozik.</w:t>
      </w:r>
    </w:p>
    <w:p w14:paraId="10471F7B" w14:textId="77777777" w:rsidR="003E04CD" w:rsidRDefault="00DC45FF">
      <w:pPr>
        <w:pStyle w:val="Zkladntext"/>
        <w:numPr>
          <w:ilvl w:val="0"/>
          <w:numId w:val="2"/>
        </w:numPr>
      </w:pPr>
      <w:r>
        <w:t>A  vizsgaszabályzat és eljárási rend a hatósági jóváhagyást követő 15. napon lép hatályba és visszavonásig érvényes.</w:t>
      </w:r>
    </w:p>
    <w:p w14:paraId="138F6204" w14:textId="77777777" w:rsidR="003E04CD" w:rsidRDefault="00DC45FF">
      <w:pPr>
        <w:pStyle w:val="Nadpis1"/>
      </w:pPr>
      <w:bookmarkStart w:id="2" w:name="__RefHeading___Toc4993_4278059951"/>
      <w:bookmarkEnd w:id="2"/>
      <w:r>
        <w:t>2.</w:t>
      </w:r>
      <w:r>
        <w:tab/>
        <w:t>A vasúti társaság elérhetősége</w:t>
      </w:r>
    </w:p>
    <w:p w14:paraId="7EAFECFF" w14:textId="77777777" w:rsidR="003E04CD" w:rsidRDefault="00DC45FF">
      <w:pPr>
        <w:pStyle w:val="Nadpis2"/>
      </w:pPr>
      <w:bookmarkStart w:id="3" w:name="__RefHeading___Toc4995_4278059951"/>
      <w:bookmarkEnd w:id="3"/>
      <w:r>
        <w:t>2.1.</w:t>
      </w:r>
      <w:r>
        <w:tab/>
        <w:t>Elérhetőségek</w:t>
      </w:r>
    </w:p>
    <w:p w14:paraId="3E23DFA8" w14:textId="77777777" w:rsidR="003E04CD" w:rsidRDefault="00DC45FF">
      <w:pPr>
        <w:pStyle w:val="Zkladntext"/>
        <w:numPr>
          <w:ilvl w:val="0"/>
          <w:numId w:val="3"/>
        </w:numPr>
      </w:pPr>
      <w:r>
        <w:t xml:space="preserve">A vizsgáztató szervezet neve: </w:t>
      </w:r>
      <w:proofErr w:type="spellStart"/>
      <w:r>
        <w:t>RailLog</w:t>
      </w:r>
      <w:proofErr w:type="spellEnd"/>
      <w:r>
        <w:t xml:space="preserve"> s.r.o.</w:t>
      </w:r>
    </w:p>
    <w:p w14:paraId="014814F7" w14:textId="77777777" w:rsidR="003E04CD" w:rsidRDefault="00DC45FF">
      <w:pPr>
        <w:pStyle w:val="Zkladntext"/>
        <w:numPr>
          <w:ilvl w:val="0"/>
          <w:numId w:val="3"/>
        </w:numPr>
      </w:pPr>
      <w:r>
        <w:t xml:space="preserve">A vizsgáztató szervezet címe: </w:t>
      </w:r>
      <w:proofErr w:type="spellStart"/>
      <w:r>
        <w:t>Mlynská</w:t>
      </w:r>
      <w:proofErr w:type="spellEnd"/>
      <w:r>
        <w:t xml:space="preserve"> 6/B, 934 01 Levice, Szlovákia</w:t>
      </w:r>
    </w:p>
    <w:p w14:paraId="4558EE8B" w14:textId="77777777" w:rsidR="003E04CD" w:rsidRDefault="00DC45FF">
      <w:pPr>
        <w:pStyle w:val="Zkladntext"/>
        <w:numPr>
          <w:ilvl w:val="0"/>
          <w:numId w:val="3"/>
        </w:numPr>
        <w:jc w:val="left"/>
      </w:pPr>
      <w:r>
        <w:t>A vizsgáztató szervezet honlapja: https://raillog.sk/</w:t>
      </w:r>
    </w:p>
    <w:p w14:paraId="7FC427C8" w14:textId="77777777" w:rsidR="003E04CD" w:rsidRDefault="00DC45FF">
      <w:pPr>
        <w:pStyle w:val="Zkladntext"/>
        <w:numPr>
          <w:ilvl w:val="0"/>
          <w:numId w:val="3"/>
        </w:numPr>
      </w:pPr>
      <w:r>
        <w:t>A vizsgáztató szervezet levelezési címe: megegyezik a székhely címével.</w:t>
      </w:r>
    </w:p>
    <w:p w14:paraId="23370E6E" w14:textId="77777777" w:rsidR="003E04CD" w:rsidRDefault="00DC45FF">
      <w:pPr>
        <w:pStyle w:val="Nadpis2"/>
      </w:pPr>
      <w:bookmarkStart w:id="4" w:name="__RefHeading___Toc4997_4278059951"/>
      <w:bookmarkEnd w:id="4"/>
      <w:r>
        <w:t>2.2.</w:t>
      </w:r>
      <w:r>
        <w:tab/>
        <w:t>A személyes ügyfélfogadás rendje</w:t>
      </w:r>
    </w:p>
    <w:p w14:paraId="123165A9" w14:textId="77777777" w:rsidR="003E04CD" w:rsidRDefault="00DC45FF">
      <w:pPr>
        <w:pStyle w:val="Zkladntext"/>
      </w:pPr>
      <w:r>
        <w:t>Személyes ügyfélfogadás telefonon vagy e-mailben előre egyeztetett időpontban történik. Az időpontegyeztetéshez az elérhetőségek az RLL honlapján megtalálhatóak.</w:t>
      </w:r>
    </w:p>
    <w:p w14:paraId="0C15B3C1" w14:textId="77777777" w:rsidR="003E04CD" w:rsidRDefault="00DC45FF">
      <w:pPr>
        <w:pStyle w:val="Nadpis1"/>
      </w:pPr>
      <w:bookmarkStart w:id="5" w:name="__RefHeading___Toc4999_4278059951"/>
      <w:bookmarkEnd w:id="5"/>
      <w:r>
        <w:lastRenderedPageBreak/>
        <w:t>3.</w:t>
      </w:r>
      <w:r>
        <w:tab/>
        <w:t>Másodlatok kiállítása</w:t>
      </w:r>
    </w:p>
    <w:p w14:paraId="379D9ECC" w14:textId="77777777" w:rsidR="003E04CD" w:rsidRDefault="00DC45FF">
      <w:pPr>
        <w:pStyle w:val="Zkladntext"/>
      </w:pPr>
      <w:r>
        <w:t>Másodlat a KR 34. § (1a) bekezdésében felsorolt esetekben állítható ki. A másodlat kiállítására vonatkozó kérelmet a kérelmező írásban; elektronikusan, postai úton, vagy időpontegyeztetés után személyesen nyújthatja be.</w:t>
      </w:r>
    </w:p>
    <w:p w14:paraId="34E1CDFA" w14:textId="77777777" w:rsidR="003E04CD" w:rsidRDefault="00DC45FF">
      <w:pPr>
        <w:pStyle w:val="Zkladntext"/>
      </w:pPr>
      <w:r>
        <w:t>A kérelemnek tartalmaznia kell:</w:t>
      </w:r>
    </w:p>
    <w:p w14:paraId="55A7CFCD" w14:textId="77777777" w:rsidR="003E04CD" w:rsidRDefault="00DC45FF">
      <w:pPr>
        <w:pStyle w:val="Zkladntext"/>
        <w:numPr>
          <w:ilvl w:val="0"/>
          <w:numId w:val="4"/>
        </w:numPr>
      </w:pPr>
      <w:r>
        <w:t>a vizsgázó természetes személyazonosító adatait (név, születési név, születési hely, születési idő, anyja neve)</w:t>
      </w:r>
    </w:p>
    <w:p w14:paraId="21DBDF77" w14:textId="77777777" w:rsidR="003E04CD" w:rsidRDefault="00DC45FF">
      <w:pPr>
        <w:pStyle w:val="Zkladntext"/>
        <w:numPr>
          <w:ilvl w:val="0"/>
          <w:numId w:val="4"/>
        </w:numPr>
      </w:pPr>
      <w:r>
        <w:t>a vizsga időpontját, helyszínét,</w:t>
      </w:r>
    </w:p>
    <w:p w14:paraId="0B18929A" w14:textId="77777777" w:rsidR="003E04CD" w:rsidRDefault="00DC45FF">
      <w:pPr>
        <w:pStyle w:val="Zkladntext"/>
        <w:numPr>
          <w:ilvl w:val="0"/>
          <w:numId w:val="4"/>
        </w:numPr>
      </w:pPr>
      <w:r>
        <w:t>a vizsga megnevezését,</w:t>
      </w:r>
    </w:p>
    <w:p w14:paraId="48BCE487" w14:textId="77777777" w:rsidR="003E04CD" w:rsidRDefault="00DC45FF">
      <w:pPr>
        <w:pStyle w:val="Zkladntext"/>
        <w:numPr>
          <w:ilvl w:val="0"/>
          <w:numId w:val="4"/>
        </w:numPr>
      </w:pPr>
      <w:r>
        <w:t>a vizsga típusát,</w:t>
      </w:r>
    </w:p>
    <w:p w14:paraId="1197ECEE" w14:textId="77777777" w:rsidR="003E04CD" w:rsidRDefault="00DC45FF">
      <w:pPr>
        <w:pStyle w:val="Zkladntext"/>
        <w:numPr>
          <w:ilvl w:val="0"/>
          <w:numId w:val="4"/>
        </w:numPr>
      </w:pPr>
      <w:r>
        <w:t>a kérelmező levelezési címét,</w:t>
      </w:r>
    </w:p>
    <w:p w14:paraId="0C6930CB" w14:textId="77777777" w:rsidR="003E04CD" w:rsidRDefault="00DC45FF">
      <w:pPr>
        <w:pStyle w:val="Zkladntext"/>
        <w:numPr>
          <w:ilvl w:val="0"/>
          <w:numId w:val="4"/>
        </w:numPr>
      </w:pPr>
      <w:r>
        <w:t>a kérelmező aláírását (elektronikusan benyújtott kérelem esetén a NISZ AVDH szolgáltatásával elektronikusan aláírva).</w:t>
      </w:r>
    </w:p>
    <w:p w14:paraId="3A81966A" w14:textId="77777777" w:rsidR="003E04CD" w:rsidRDefault="00DC45FF">
      <w:pPr>
        <w:pStyle w:val="Zkladntext"/>
      </w:pPr>
      <w:r>
        <w:t>A másodlaton  fel kell tüntetni a „Másodlat” szöveget, a kiállító aláírását, a dátumot, és a kiállító bélyegzőjét.</w:t>
      </w:r>
    </w:p>
    <w:p w14:paraId="187442F7" w14:textId="77777777" w:rsidR="003E04CD" w:rsidRDefault="00DC45FF">
      <w:pPr>
        <w:pStyle w:val="Zkladntext"/>
      </w:pPr>
      <w:r>
        <w:t>A másodlat átadásáról átvételi elismervényt kell készíteni.</w:t>
      </w:r>
    </w:p>
    <w:p w14:paraId="3F39CB22" w14:textId="77777777" w:rsidR="003E04CD" w:rsidRDefault="00DC45FF">
      <w:pPr>
        <w:pStyle w:val="Zkladntext"/>
      </w:pPr>
      <w:r>
        <w:t>A másodlatok a vizsgabiztos aláírása nélkül is hitelesek.</w:t>
      </w:r>
    </w:p>
    <w:p w14:paraId="2732A32E" w14:textId="77777777" w:rsidR="003E04CD" w:rsidRDefault="00DC45FF">
      <w:pPr>
        <w:pStyle w:val="Nadpis1"/>
      </w:pPr>
      <w:bookmarkStart w:id="6" w:name="__RefHeading___Toc5001_4278059951"/>
      <w:bookmarkEnd w:id="6"/>
      <w:r>
        <w:t>4.</w:t>
      </w:r>
      <w:r>
        <w:tab/>
        <w:t>Alapvizsgára bocsátás és bejelentés feltételeinek ellenőrzése</w:t>
      </w:r>
    </w:p>
    <w:p w14:paraId="5CAAEEA8" w14:textId="77777777" w:rsidR="003E04CD" w:rsidRDefault="00DC45FF">
      <w:pPr>
        <w:pStyle w:val="Zkladntext"/>
      </w:pPr>
      <w:r>
        <w:t>A képzőszervezet akkor jelentheti be a képzésben résztvevőt alapvizsgára, ha a résztvevő a képzési programban előírt beszámolási kötelezettségét teljesítette és megfelelt a képzésben való részvétel feltételeinek. Az RLL vasútszakmai vezetője a feltételek meglétét a képzőszervezettel együttműködve ellenőrzi.</w:t>
      </w:r>
    </w:p>
    <w:p w14:paraId="24927FCB" w14:textId="77777777" w:rsidR="003E04CD" w:rsidRDefault="00DC45FF">
      <w:pPr>
        <w:pStyle w:val="Nadpis1"/>
      </w:pPr>
      <w:bookmarkStart w:id="7" w:name="__RefHeading___Toc5003_4278059951"/>
      <w:bookmarkEnd w:id="7"/>
      <w:r>
        <w:t>5.</w:t>
      </w:r>
      <w:r>
        <w:tab/>
        <w:t>Elővizsgát követő alapvizsgák</w:t>
      </w:r>
    </w:p>
    <w:p w14:paraId="233D63A4" w14:textId="77777777" w:rsidR="003E04CD" w:rsidRDefault="00DC45FF">
      <w:pPr>
        <w:pStyle w:val="Zkladntext"/>
      </w:pPr>
      <w:r>
        <w:t>Az elővizsgát követő alapvizsgákat az alapvizsgákra vonatkozó rendelkezések értelemszerű alkalmazásával kell előkészíteni és lebonyolítani, figyelembe véve a biztonságirányítási rendszer előírásait is.</w:t>
      </w:r>
    </w:p>
    <w:p w14:paraId="05245CB4" w14:textId="77777777" w:rsidR="003E04CD" w:rsidRDefault="00DC45FF">
      <w:pPr>
        <w:pStyle w:val="Nadpis1"/>
      </w:pPr>
      <w:bookmarkStart w:id="8" w:name="__RefHeading___Toc5005_4278059951"/>
      <w:bookmarkEnd w:id="8"/>
      <w:r>
        <w:lastRenderedPageBreak/>
        <w:t>6.</w:t>
      </w:r>
      <w:r>
        <w:tab/>
        <w:t>Részalapvizsgák</w:t>
      </w:r>
    </w:p>
    <w:p w14:paraId="5F051BDD" w14:textId="77777777" w:rsidR="003E04CD" w:rsidRDefault="00DC45FF">
      <w:pPr>
        <w:pStyle w:val="Zkladntext"/>
      </w:pPr>
      <w:r>
        <w:t>Az RLL részalapvizsgát nem szervez.</w:t>
      </w:r>
    </w:p>
    <w:p w14:paraId="620AC925" w14:textId="77777777" w:rsidR="003E04CD" w:rsidRDefault="00DC45FF">
      <w:pPr>
        <w:pStyle w:val="Nadpis1"/>
      </w:pPr>
      <w:bookmarkStart w:id="9" w:name="__RefHeading___Toc5007_4278059951"/>
      <w:bookmarkEnd w:id="9"/>
      <w:r>
        <w:t>7.</w:t>
      </w:r>
      <w:r>
        <w:tab/>
        <w:t>Eltérés vizsgák</w:t>
      </w:r>
    </w:p>
    <w:p w14:paraId="52D384CE" w14:textId="77777777" w:rsidR="003E04CD" w:rsidRDefault="00DC45FF">
      <w:pPr>
        <w:pStyle w:val="Zkladntext"/>
      </w:pPr>
      <w:r>
        <w:t>Az RLL eltérés alapvizsgát nem szervez.</w:t>
      </w:r>
    </w:p>
    <w:p w14:paraId="179AB00D" w14:textId="77777777" w:rsidR="003E04CD" w:rsidRDefault="00DC45FF">
      <w:pPr>
        <w:pStyle w:val="Nadpis1"/>
      </w:pPr>
      <w:bookmarkStart w:id="10" w:name="__RefHeading___Toc5009_4278059951"/>
      <w:bookmarkEnd w:id="10"/>
      <w:r>
        <w:t>8.</w:t>
      </w:r>
      <w:r>
        <w:tab/>
        <w:t>Az időszakos vizsga szervezése</w:t>
      </w:r>
    </w:p>
    <w:p w14:paraId="246094B4" w14:textId="77777777" w:rsidR="003E04CD" w:rsidRDefault="00DC45FF">
      <w:pPr>
        <w:pStyle w:val="Zkladntext"/>
      </w:pPr>
      <w:r>
        <w:t xml:space="preserve">Az időszakos vizsgákat olyan időpontra kell megszervezni, hogy az esetleges javító- vagy pótvizsga az alapvizsga érvényességi idején belül megszervezhető legyen. </w:t>
      </w:r>
    </w:p>
    <w:p w14:paraId="283576CA" w14:textId="77777777" w:rsidR="003E04CD" w:rsidRDefault="00DC45FF">
      <w:pPr>
        <w:pStyle w:val="Zkladntext"/>
      </w:pPr>
      <w:r>
        <w:t>Az időszakos vizsgára bocsájtás és bejelentés feltételeinek ellenőrzése a vasútszakmai vezető feladata, a regisztrált szervezettel együttműködve.</w:t>
      </w:r>
    </w:p>
    <w:p w14:paraId="261ADC1B" w14:textId="77777777" w:rsidR="003E04CD" w:rsidRDefault="00DC45FF">
      <w:pPr>
        <w:pStyle w:val="Nadpis1"/>
      </w:pPr>
      <w:bookmarkStart w:id="11" w:name="__RefHeading___Toc5011_4278059951"/>
      <w:bookmarkEnd w:id="11"/>
      <w:r>
        <w:t>9.</w:t>
      </w:r>
      <w:r>
        <w:tab/>
        <w:t>Soron kívüli időszakos vizsga szervezése</w:t>
      </w:r>
    </w:p>
    <w:p w14:paraId="6F7ABE8A" w14:textId="77777777" w:rsidR="003E04CD" w:rsidRDefault="00DC45FF">
      <w:pPr>
        <w:pStyle w:val="Zkladntext"/>
      </w:pPr>
      <w:r>
        <w:t>A soron kívüli időszakos vizsgákat az időszakos vizsgákra vonatkozó rendelkezések értelemszerű alkalmazásával kell előkészíteni és lebonyolítani.</w:t>
      </w:r>
    </w:p>
    <w:p w14:paraId="52EC9FF4" w14:textId="77777777" w:rsidR="003E04CD" w:rsidRDefault="00DC45FF">
      <w:pPr>
        <w:pStyle w:val="Zkladntext"/>
      </w:pPr>
      <w:r>
        <w:t>Az soron kívüli időszakos vizsgára bocsájtás és bejelentés feltételeinek ellenőrzése a    vasútszakmai vezető feladata, a képzőszervezettel együttműködve.</w:t>
      </w:r>
    </w:p>
    <w:p w14:paraId="5AC13C2A" w14:textId="77777777" w:rsidR="003E04CD" w:rsidRDefault="00DC45FF">
      <w:pPr>
        <w:pStyle w:val="Nadpis1"/>
      </w:pPr>
      <w:bookmarkStart w:id="12" w:name="__RefHeading___Toc5013_4278059951"/>
      <w:bookmarkEnd w:id="12"/>
      <w:r>
        <w:t>10.</w:t>
      </w:r>
      <w:r>
        <w:tab/>
        <w:t>A vizsgahelyszín és a vizsgaidőpont kijelölése</w:t>
      </w:r>
    </w:p>
    <w:p w14:paraId="422E0002" w14:textId="77777777" w:rsidR="003E04CD" w:rsidRDefault="00DC45FF">
      <w:pPr>
        <w:pStyle w:val="Zkladntext"/>
      </w:pPr>
      <w:r>
        <w:t>A vizsgák helyszínét és időpontját a RLL, mint vizsgáztató szervezet jelöli ki. Méltánylást érdemlő esetben a vizsga időpontja az általános munkaidőn kívül is eshet.</w:t>
      </w:r>
    </w:p>
    <w:p w14:paraId="79C32404" w14:textId="77777777" w:rsidR="003E04CD" w:rsidRDefault="00DC45FF">
      <w:pPr>
        <w:pStyle w:val="Nadpis1"/>
      </w:pPr>
      <w:bookmarkStart w:id="13" w:name="__RefHeading___Toc5015_4278059951"/>
      <w:bookmarkEnd w:id="13"/>
      <w:r>
        <w:t>11.</w:t>
      </w:r>
      <w:r>
        <w:tab/>
        <w:t>A vizsgabiztos kijelölése</w:t>
      </w:r>
    </w:p>
    <w:p w14:paraId="4E499EBF" w14:textId="77777777" w:rsidR="003E04CD" w:rsidRDefault="00DC45FF">
      <w:pPr>
        <w:pStyle w:val="Zkladntext"/>
      </w:pPr>
      <w:r>
        <w:t>A vizsgabiztost olyan időben kell felkérni, hogy a KR-ben szabályozott határidők tarthatóak legyenek. A vizsgabiztost a vasútszakmai vezető jelöli ki.</w:t>
      </w:r>
    </w:p>
    <w:p w14:paraId="795BD170" w14:textId="6E4D7D18" w:rsidR="003E04CD" w:rsidRDefault="00DC45FF">
      <w:pPr>
        <w:pStyle w:val="Nadpis1"/>
      </w:pPr>
      <w:bookmarkStart w:id="14" w:name="__RefHeading___Toc5017_4278059951"/>
      <w:bookmarkEnd w:id="14"/>
      <w:r>
        <w:t>12.</w:t>
      </w:r>
      <w:r>
        <w:tab/>
        <w:t>A vizsgák előkészít</w:t>
      </w:r>
      <w:r w:rsidR="004A3C27">
        <w:t>é</w:t>
      </w:r>
      <w:r>
        <w:t>se, bejelentése</w:t>
      </w:r>
    </w:p>
    <w:p w14:paraId="527E9D8A" w14:textId="67CD8630" w:rsidR="003E04CD" w:rsidRDefault="00DC45FF">
      <w:pPr>
        <w:pStyle w:val="Zkladntext"/>
      </w:pPr>
      <w:r>
        <w:t xml:space="preserve">A munkavállaló az elektronikus vizsgabejelentő felületen jelenthető be alap- vagy időszakos vizsgára. Az elektronikus felülethez való hozzáférés iránti kérelmet a </w:t>
      </w:r>
      <w:r w:rsidR="008F614D">
        <w:t xml:space="preserve">KAV </w:t>
      </w:r>
      <w:r>
        <w:t>Vasúti Vizsgaközpont Vasúti Vizsgaszervezési Osztályhoz kell benyújtani.</w:t>
      </w:r>
    </w:p>
    <w:p w14:paraId="5E6E87AE" w14:textId="77777777" w:rsidR="003E04CD" w:rsidRDefault="00DC45FF">
      <w:pPr>
        <w:pStyle w:val="Zkladntext"/>
      </w:pPr>
      <w:r>
        <w:lastRenderedPageBreak/>
        <w:t xml:space="preserve">A vasúti társasági alap- vagy időszakos vizsgák esetében a bejelentéseket a képzőszervezetnek a vizsgaközpont nyilvántartási rendszerében a vizsgabiztos feltüntetésével a vizsga időpontját megelőző 5. munkanapig rögzítenie kell. </w:t>
      </w:r>
    </w:p>
    <w:p w14:paraId="5158022A" w14:textId="77777777" w:rsidR="003E04CD" w:rsidRDefault="00DC45FF">
      <w:pPr>
        <w:pStyle w:val="Zkladntext"/>
      </w:pPr>
      <w:r>
        <w:t>A vizsgahelyszín, illetve a vizsgához szükséges eszközök biztosítása a vasútszakmai vezető feladata.</w:t>
      </w:r>
    </w:p>
    <w:p w14:paraId="3857EAF0" w14:textId="77777777" w:rsidR="003E04CD" w:rsidRDefault="00DC45FF">
      <w:pPr>
        <w:pStyle w:val="Zkladntext"/>
      </w:pPr>
      <w:r>
        <w:t>Sikertelen vagy elmulasztott alapvizsga esetén a pót-és javítóvizsgák bejelentése az alapvizsgára történő bejelentés szerint történik.</w:t>
      </w:r>
    </w:p>
    <w:p w14:paraId="1FDCBF53" w14:textId="77777777" w:rsidR="003E04CD" w:rsidRDefault="00DC45FF">
      <w:pPr>
        <w:pStyle w:val="Zkladntext"/>
      </w:pPr>
      <w:r>
        <w:t>Sikertelen vagy elmulasztott időszakos vizsga esetén a pót-és javítóvizsgák bejelentése - a R. 22. § (1) bekezdésében meghatározott érvényességet meg nem haladó időben - az időszakos vizsgára történő bejelentés szerint történik.</w:t>
      </w:r>
    </w:p>
    <w:p w14:paraId="72A4873A" w14:textId="77777777" w:rsidR="003E04CD" w:rsidRDefault="00DC45FF">
      <w:pPr>
        <w:pStyle w:val="Nadpis1"/>
      </w:pPr>
      <w:bookmarkStart w:id="15" w:name="__RefHeading___Toc5019_4278059951"/>
      <w:bookmarkEnd w:id="15"/>
      <w:r>
        <w:t>13.</w:t>
      </w:r>
      <w:r>
        <w:tab/>
        <w:t>A vizsgahelységek komfortja és felszereltsége</w:t>
      </w:r>
    </w:p>
    <w:p w14:paraId="2CE49F21" w14:textId="77777777" w:rsidR="003E04CD" w:rsidRDefault="00DC45FF">
      <w:pPr>
        <w:pStyle w:val="Zkladntext"/>
      </w:pPr>
      <w:r>
        <w:t>A vizsgáztatásra biztosított helyiségnek a vizsgáztatáshoz szükséges mértékben világosnak, megfelelő hőmérsékletűnek, a helyiségnek és a bútorzatnak tisztának kell lennie. A helyszínen kiszolgáló helyiségnek – WC-mosdó – kell lenni. A vizsgaeredmények rögzítéséhez és a vizsgához kapcsolódó nyilatkozatok, okmányok kinyomtatásához szükséges eszközöket (beállított számítógép vagy laptop, beállított nyomtató), anyagokat (nyomtatópapír) és beállított internetkapcsolatot valamint az eszközök működtetéséhez szüksé</w:t>
      </w:r>
      <w:r>
        <w:t>ges áramforrást biztosítani kell.</w:t>
      </w:r>
    </w:p>
    <w:p w14:paraId="59B96D8F" w14:textId="77777777" w:rsidR="003E04CD" w:rsidRDefault="00DC45FF">
      <w:pPr>
        <w:pStyle w:val="Zkladntext"/>
      </w:pPr>
      <w:r>
        <w:t>A megfelelő vizsgahelyszín és annak megfelelő felszereltségének, továbbá a gyakorlati vizsgatevékenységhez a jármű biztosítása a vizsgát előkészítő képzőszervezet vagy regisztrált szervezet feladata és kötelessége.</w:t>
      </w:r>
    </w:p>
    <w:p w14:paraId="39ACE61C" w14:textId="77777777" w:rsidR="003E04CD" w:rsidRDefault="00DC45FF">
      <w:pPr>
        <w:pStyle w:val="Nadpis2"/>
      </w:pPr>
      <w:bookmarkStart w:id="16" w:name="__RefHeading___Toc2233_1301632659"/>
      <w:bookmarkEnd w:id="16"/>
      <w:r>
        <w:t>13.1.</w:t>
      </w:r>
      <w:r>
        <w:tab/>
        <w:t>Szóbeli vizsgatevékenység esetén</w:t>
      </w:r>
    </w:p>
    <w:p w14:paraId="39048DE0" w14:textId="77777777" w:rsidR="003E04CD" w:rsidRDefault="00DC45FF">
      <w:pPr>
        <w:pStyle w:val="Zkladntext"/>
      </w:pPr>
      <w:r>
        <w:t>Az egyszerre vizsgázók létszámának megfelelő tanulóasztalok vagy padok és székek. Oktatói asztal és szék. A vizsgahelyiségen kívül várakozó helyiség. Megfelelő mennyiségű ruhafogas.</w:t>
      </w:r>
    </w:p>
    <w:p w14:paraId="7EC38BB5" w14:textId="77777777" w:rsidR="003E04CD" w:rsidRDefault="00DC45FF">
      <w:pPr>
        <w:pStyle w:val="Nadpis2"/>
      </w:pPr>
      <w:bookmarkStart w:id="17" w:name="__RefHeading___Toc2235_1301632659"/>
      <w:bookmarkEnd w:id="17"/>
      <w:r>
        <w:lastRenderedPageBreak/>
        <w:t>13.2.</w:t>
      </w:r>
      <w:r>
        <w:tab/>
        <w:t>Gyakorlati vizsgatevékenység esetén</w:t>
      </w:r>
    </w:p>
    <w:p w14:paraId="2ED3ADF1" w14:textId="77777777" w:rsidR="003E04CD" w:rsidRDefault="00DC45FF">
      <w:pPr>
        <w:pStyle w:val="Zkladntext"/>
      </w:pPr>
      <w:r>
        <w:t>Az egyszerre vizsgázók létszámának megfelelő tanulóasztalok vagy padok és székek. Oktatói asztal és szék. A vizsgahelyiségen kívül várakozó helyiség. Megfelelő mennyiségű ruhafogas.</w:t>
      </w:r>
    </w:p>
    <w:p w14:paraId="09C4D4E4" w14:textId="77777777" w:rsidR="003E04CD" w:rsidRDefault="00DC45FF">
      <w:pPr>
        <w:pStyle w:val="Nadpis1"/>
      </w:pPr>
      <w:bookmarkStart w:id="18" w:name="__RefHeading___Toc5021_4278059951"/>
      <w:bookmarkEnd w:id="18"/>
      <w:r>
        <w:t>14.</w:t>
      </w:r>
      <w:r>
        <w:tab/>
        <w:t>Eljárás, ha a vizsgahelyiségek komfortja és felszereltsége nem megfelelő</w:t>
      </w:r>
    </w:p>
    <w:p w14:paraId="5F27D63D" w14:textId="77777777" w:rsidR="003E04CD" w:rsidRDefault="00DC45FF">
      <w:pPr>
        <w:pStyle w:val="Zkladntext"/>
      </w:pPr>
      <w:r>
        <w:t>A vizsgahelyiségek komfortjának megítélése a vizsgabiztos feladata. A vizsga során rendelkezésre kell állnia a vizsgajegyzőkönyvek és vizsgaigazolások elkészítéséhez szükséges technikai feltételeknek.</w:t>
      </w:r>
    </w:p>
    <w:p w14:paraId="1652D0D5" w14:textId="77777777" w:rsidR="003E04CD" w:rsidRDefault="00DC45FF">
      <w:pPr>
        <w:pStyle w:val="Zkladntext"/>
      </w:pPr>
      <w:r>
        <w:t xml:space="preserve">Ha a vizsgabiztos megállapítja, hogy a vizsgahelyszín komfortja vagy felszereltsége a vizsga lebonyolításához nem megfelelő, ezt a tényt </w:t>
      </w:r>
      <w:proofErr w:type="spellStart"/>
      <w:r>
        <w:t>jelzni</w:t>
      </w:r>
      <w:proofErr w:type="spellEnd"/>
      <w:r>
        <w:t xml:space="preserve"> a RLL vagy a közreműködő szervezet képviselőjének.</w:t>
      </w:r>
    </w:p>
    <w:p w14:paraId="022239B9" w14:textId="77777777" w:rsidR="003E04CD" w:rsidRDefault="00DC45FF">
      <w:pPr>
        <w:pStyle w:val="Zkladntext"/>
      </w:pPr>
      <w:r>
        <w:t>Amennyiben a hiányosságok közösen egyeztetett határidőn belül nem szüntethetők meg, a vizsga elmarad. A vizsga elmaradásáról és annak okáról a vizsgabiztos a RLL-t haladéktalanul értesíti.</w:t>
      </w:r>
    </w:p>
    <w:p w14:paraId="760D267A" w14:textId="77777777" w:rsidR="003E04CD" w:rsidRDefault="00DC45FF">
      <w:pPr>
        <w:pStyle w:val="Zkladntext"/>
      </w:pPr>
      <w:r>
        <w:t>Ilyen esetben vizsgabiztos a vizsgán résztvevők számára eredményt nem rögzít, vizsgajegyzőkönyvet nem állít ki. A vizsga újabb bejelentést követően tartható meg.</w:t>
      </w:r>
    </w:p>
    <w:p w14:paraId="7189FFF8" w14:textId="77777777" w:rsidR="003E04CD" w:rsidRDefault="00DC45FF">
      <w:pPr>
        <w:pStyle w:val="Nadpis1"/>
      </w:pPr>
      <w:bookmarkStart w:id="19" w:name="__RefHeading___Toc5023_4278059951"/>
      <w:bookmarkEnd w:id="19"/>
      <w:r>
        <w:t>15.</w:t>
      </w:r>
      <w:r>
        <w:tab/>
        <w:t>A vizsgabiztos feladatai</w:t>
      </w:r>
    </w:p>
    <w:p w14:paraId="562DC25B" w14:textId="77777777" w:rsidR="003E04CD" w:rsidRDefault="00DC45FF">
      <w:pPr>
        <w:pStyle w:val="Zkladntext"/>
      </w:pPr>
      <w:r>
        <w:t xml:space="preserve">A vasútszakmai vezető a vizsgatételeket, vizsgakérdéseket, vizsgafeladatokat vagy vizsgateszteket és azok javítókulcsait a vizsgabiztosoknak a vizsgát megelőzően átadja. A tesztlap, feladatlap vagy megoldó kulcs elvesztéséről, sérüléséről – az eset és a körülmények tényszerű leírása mellett – a vizsgabiztos a vasútszakmai vezetőt haladéktalanul e-mailben értesíti. </w:t>
      </w:r>
    </w:p>
    <w:p w14:paraId="3486013D" w14:textId="77777777" w:rsidR="003E04CD" w:rsidRDefault="00DC45FF">
      <w:pPr>
        <w:pStyle w:val="Zkladntext"/>
      </w:pPr>
      <w:r>
        <w:t>A vizsgázó a Nyilatkozat (2. melléklet) nyomtatványon teszi meg előírt nyilatkozatát, amit a vizsgát megelőzően a vizsgabiztos kinyomtat.</w:t>
      </w:r>
    </w:p>
    <w:p w14:paraId="13EA5562" w14:textId="77777777" w:rsidR="003E04CD" w:rsidRDefault="00DC45FF">
      <w:pPr>
        <w:pStyle w:val="Nadpis2"/>
      </w:pPr>
      <w:bookmarkStart w:id="20" w:name="__RefHeading___Toc533_2538148565"/>
      <w:bookmarkEnd w:id="20"/>
      <w:r>
        <w:t>15.1.</w:t>
      </w:r>
      <w:r>
        <w:tab/>
        <w:t>Teendők a vizsga megkezdése előtt</w:t>
      </w:r>
    </w:p>
    <w:p w14:paraId="1FDA4A60" w14:textId="77777777" w:rsidR="003E04CD" w:rsidRDefault="00DC45FF">
      <w:pPr>
        <w:pStyle w:val="Zkladntext"/>
        <w:numPr>
          <w:ilvl w:val="0"/>
          <w:numId w:val="5"/>
        </w:numPr>
      </w:pPr>
      <w:r>
        <w:t>A vizsgabiztos a vizsga megkezdése előtt, a vizsga kezdési időpontjában egyezteti a vizsgázók névsorát az ott megjelentekkel.</w:t>
      </w:r>
    </w:p>
    <w:p w14:paraId="1463FA14" w14:textId="77777777" w:rsidR="003E04CD" w:rsidRDefault="00DC45FF">
      <w:pPr>
        <w:pStyle w:val="Zkladntext"/>
        <w:numPr>
          <w:ilvl w:val="0"/>
          <w:numId w:val="5"/>
        </w:numPr>
      </w:pPr>
      <w:r>
        <w:lastRenderedPageBreak/>
        <w:t>Az egyeztetés alkalmával nem jelentkező vizsgázók nevét egy alkalommal újra ismételten fel kell olvasni abban az esetben, ha ettől eredmény várható.</w:t>
      </w:r>
    </w:p>
    <w:p w14:paraId="5A7D8364" w14:textId="77777777" w:rsidR="003E04CD" w:rsidRDefault="00DC45FF">
      <w:pPr>
        <w:pStyle w:val="Zkladntext"/>
        <w:numPr>
          <w:ilvl w:val="0"/>
          <w:numId w:val="5"/>
        </w:numPr>
      </w:pPr>
      <w:r>
        <w:t>A tájékoztató megkezdését (a teremajtó becsukását) követően érkező vizsgázókat már nem szabad fogadni, ezen vizsgázók vizsgájukat már nem kezdhetik meg.</w:t>
      </w:r>
    </w:p>
    <w:p w14:paraId="1C268107" w14:textId="77777777" w:rsidR="003E04CD" w:rsidRDefault="00DC45FF">
      <w:pPr>
        <w:pStyle w:val="Zkladntext"/>
        <w:numPr>
          <w:ilvl w:val="0"/>
          <w:numId w:val="5"/>
        </w:numPr>
      </w:pPr>
      <w:r>
        <w:t>A vizsgabiztos a vizsga megkezdésekor – az üdvözlést és a bemutatkozást követően – tájékoztatót tart, ismerteti a vizsgával kapcsolatos tudnivalókat:</w:t>
      </w:r>
    </w:p>
    <w:p w14:paraId="0C309A06" w14:textId="77777777" w:rsidR="003E04CD" w:rsidRDefault="00DC45FF">
      <w:pPr>
        <w:pStyle w:val="Zkladntext"/>
        <w:numPr>
          <w:ilvl w:val="0"/>
          <w:numId w:val="5"/>
        </w:numPr>
      </w:pPr>
      <w:r>
        <w:t>a vizsga neve, típusa,</w:t>
      </w:r>
    </w:p>
    <w:p w14:paraId="3F919FA9" w14:textId="77777777" w:rsidR="003E04CD" w:rsidRDefault="00DC45FF">
      <w:pPr>
        <w:pStyle w:val="Zkladntext"/>
        <w:numPr>
          <w:ilvl w:val="0"/>
          <w:numId w:val="5"/>
        </w:numPr>
      </w:pPr>
      <w:r>
        <w:t>a vizsga helye, időtartama, lebonyolításának módja,</w:t>
      </w:r>
    </w:p>
    <w:p w14:paraId="50A6FB2C" w14:textId="77777777" w:rsidR="003E04CD" w:rsidRDefault="00DC45FF">
      <w:pPr>
        <w:pStyle w:val="Zkladntext"/>
        <w:numPr>
          <w:ilvl w:val="0"/>
          <w:numId w:val="5"/>
        </w:numPr>
      </w:pPr>
      <w:r>
        <w:t>segédeszköz használat lehetősége,</w:t>
      </w:r>
    </w:p>
    <w:p w14:paraId="30FEAC97" w14:textId="77777777" w:rsidR="003E04CD" w:rsidRDefault="00DC45FF">
      <w:pPr>
        <w:pStyle w:val="Zkladntext"/>
        <w:numPr>
          <w:ilvl w:val="0"/>
          <w:numId w:val="5"/>
        </w:numPr>
      </w:pPr>
      <w:r>
        <w:t>pontozás, értékelés,</w:t>
      </w:r>
    </w:p>
    <w:p w14:paraId="352FDC05" w14:textId="77777777" w:rsidR="003E04CD" w:rsidRDefault="00DC45FF">
      <w:pPr>
        <w:pStyle w:val="Zkladntext"/>
        <w:numPr>
          <w:ilvl w:val="0"/>
          <w:numId w:val="5"/>
        </w:numPr>
      </w:pPr>
      <w:r>
        <w:t>felfüggesztés, eltiltás.</w:t>
      </w:r>
    </w:p>
    <w:p w14:paraId="08188A61" w14:textId="77777777" w:rsidR="003E04CD" w:rsidRDefault="00DC45FF">
      <w:pPr>
        <w:pStyle w:val="Zkladntext"/>
        <w:numPr>
          <w:ilvl w:val="0"/>
          <w:numId w:val="5"/>
        </w:numPr>
      </w:pPr>
      <w:r>
        <w:t>A vizsga időtartama alatt a vizsgáztatást végző vizsgabiztosnak a vizsgateremben kell tartózkodnia.</w:t>
      </w:r>
    </w:p>
    <w:p w14:paraId="3081678F" w14:textId="77777777" w:rsidR="003E04CD" w:rsidRDefault="00DC45FF">
      <w:pPr>
        <w:pStyle w:val="Zkladntext"/>
        <w:numPr>
          <w:ilvl w:val="0"/>
          <w:numId w:val="5"/>
        </w:numPr>
      </w:pPr>
      <w:r>
        <w:t>A vizsgázónak nyilatkozatot (2. melléklet) kell tennie arról, hogy nem áll jogerős bírósági ítélettel kiszabott, letöltendő szabadságvesztés, foglalkozástól eltiltás, vagy vasúti járművezetéstől eltiltás büntetés hatálya alatt.</w:t>
      </w:r>
    </w:p>
    <w:p w14:paraId="6F6E94E4" w14:textId="77777777" w:rsidR="003E04CD" w:rsidRDefault="00DC45FF">
      <w:pPr>
        <w:pStyle w:val="Nadpis2"/>
      </w:pPr>
      <w:bookmarkStart w:id="21" w:name="__RefHeading___Toc535_2538148565"/>
      <w:bookmarkEnd w:id="21"/>
      <w:r>
        <w:t>15.2.</w:t>
      </w:r>
      <w:r>
        <w:tab/>
        <w:t>Teendők a vizsgatevékenységek során</w:t>
      </w:r>
    </w:p>
    <w:p w14:paraId="0052D4A9" w14:textId="77777777" w:rsidR="003E04CD" w:rsidRDefault="00DC45FF">
      <w:pPr>
        <w:pStyle w:val="Zkladntext"/>
      </w:pPr>
      <w:r>
        <w:t>A vizsgabiztos</w:t>
      </w:r>
    </w:p>
    <w:p w14:paraId="04B5052E" w14:textId="77777777" w:rsidR="003E04CD" w:rsidRDefault="00DC45FF">
      <w:pPr>
        <w:pStyle w:val="Zkladntext"/>
        <w:numPr>
          <w:ilvl w:val="0"/>
          <w:numId w:val="6"/>
        </w:numPr>
      </w:pPr>
      <w:r>
        <w:t>gondoskodik arról, hogy a vizsgázók meg nem engedett segédeszközt ne használjanak,</w:t>
      </w:r>
    </w:p>
    <w:p w14:paraId="2F946884" w14:textId="77777777" w:rsidR="003E04CD" w:rsidRDefault="00DC45FF">
      <w:pPr>
        <w:pStyle w:val="Zkladntext"/>
        <w:numPr>
          <w:ilvl w:val="0"/>
          <w:numId w:val="6"/>
        </w:numPr>
      </w:pPr>
      <w:r>
        <w:t>ellenőrzi az írásbeli vizsgák során használt lapok (tesztlapok) fejlécének helyes és valós kitöltését,</w:t>
      </w:r>
    </w:p>
    <w:p w14:paraId="6B7A57A5" w14:textId="77777777" w:rsidR="003E04CD" w:rsidRDefault="00DC45FF">
      <w:pPr>
        <w:pStyle w:val="Zkladntext"/>
        <w:numPr>
          <w:ilvl w:val="0"/>
          <w:numId w:val="6"/>
        </w:numPr>
      </w:pPr>
      <w:r>
        <w:t>szükség esetén él felfüggesztési és eltiltási jogkörével,</w:t>
      </w:r>
    </w:p>
    <w:p w14:paraId="4F8137BC" w14:textId="77777777" w:rsidR="003E04CD" w:rsidRDefault="00DC45FF">
      <w:pPr>
        <w:pStyle w:val="Zkladntext"/>
        <w:numPr>
          <w:ilvl w:val="0"/>
          <w:numId w:val="6"/>
        </w:numPr>
      </w:pPr>
      <w:r>
        <w:t>válaszol a vizsgázók vizsgával kapcsolatos kérdéseire.</w:t>
      </w:r>
    </w:p>
    <w:p w14:paraId="2B4400FD" w14:textId="77777777" w:rsidR="003E04CD" w:rsidRDefault="00DC45FF">
      <w:pPr>
        <w:pStyle w:val="Nadpis2"/>
      </w:pPr>
      <w:bookmarkStart w:id="22" w:name="__RefHeading___Toc537_2538148565"/>
      <w:bookmarkEnd w:id="22"/>
      <w:r>
        <w:lastRenderedPageBreak/>
        <w:t>15.3.</w:t>
      </w:r>
      <w:r>
        <w:tab/>
        <w:t>Teendők a vizsga befejezése után</w:t>
      </w:r>
    </w:p>
    <w:p w14:paraId="6AE6ADA5" w14:textId="77777777" w:rsidR="003E04CD" w:rsidRDefault="00DC45FF">
      <w:pPr>
        <w:pStyle w:val="Zkladntext"/>
      </w:pPr>
      <w:r>
        <w:t>A vizsgabiztos</w:t>
      </w:r>
    </w:p>
    <w:p w14:paraId="2EA07493" w14:textId="77777777" w:rsidR="003E04CD" w:rsidRDefault="00DC45FF">
      <w:pPr>
        <w:pStyle w:val="Zkladntext"/>
        <w:numPr>
          <w:ilvl w:val="0"/>
          <w:numId w:val="7"/>
        </w:numPr>
      </w:pPr>
      <w:r>
        <w:t>szóbeli vizsga esetén tájékoztatja a vizsgázókat az általuk elért eredményről,</w:t>
      </w:r>
    </w:p>
    <w:p w14:paraId="5CA4F8F4" w14:textId="7F5E8279" w:rsidR="003E04CD" w:rsidRDefault="00DC45FF">
      <w:pPr>
        <w:pStyle w:val="Zkladntext"/>
        <w:numPr>
          <w:ilvl w:val="0"/>
          <w:numId w:val="7"/>
        </w:numPr>
      </w:pPr>
      <w:r>
        <w:t>értékeli az írásbeli (tesz</w:t>
      </w:r>
      <w:r w:rsidR="008874B1">
        <w:t>t</w:t>
      </w:r>
      <w:r>
        <w:t>rendszerű) vizsgák eredményét,</w:t>
      </w:r>
    </w:p>
    <w:p w14:paraId="3FEF8268" w14:textId="77777777" w:rsidR="003E04CD" w:rsidRDefault="00DC45FF">
      <w:pPr>
        <w:pStyle w:val="Zkladntext"/>
        <w:numPr>
          <w:ilvl w:val="0"/>
          <w:numId w:val="7"/>
        </w:numPr>
      </w:pPr>
      <w:r>
        <w:t>elkészíti és átadja a vizsgázónak a vizsga eredményét bizonyító okiratot,</w:t>
      </w:r>
    </w:p>
    <w:p w14:paraId="626A9A7C" w14:textId="77777777" w:rsidR="003E04CD" w:rsidRDefault="00DC45FF">
      <w:pPr>
        <w:pStyle w:val="Zkladntext"/>
        <w:numPr>
          <w:ilvl w:val="0"/>
          <w:numId w:val="7"/>
        </w:numPr>
      </w:pPr>
      <w:r>
        <w:t>átadja a vizsgáztató szervezetnek vagy a lebonyolítással megbízott szervezetnek a vizsgáztató szervezetet illető okirati példányokat.</w:t>
      </w:r>
    </w:p>
    <w:p w14:paraId="2EB5648F" w14:textId="77777777" w:rsidR="003E04CD" w:rsidRDefault="00DC45FF">
      <w:pPr>
        <w:pStyle w:val="Zkladntext"/>
        <w:numPr>
          <w:ilvl w:val="0"/>
          <w:numId w:val="7"/>
        </w:numPr>
      </w:pPr>
      <w:r>
        <w:t>rögzíti a vizsgaeredményeket a Vizsgaközpont számítógépes rendszerében.</w:t>
      </w:r>
    </w:p>
    <w:p w14:paraId="7FDF8FCC" w14:textId="77777777" w:rsidR="003E04CD" w:rsidRDefault="00DC45FF">
      <w:pPr>
        <w:pStyle w:val="Nadpis1"/>
      </w:pPr>
      <w:bookmarkStart w:id="23" w:name="__RefHeading___Toc5025_4278059951"/>
      <w:bookmarkEnd w:id="23"/>
      <w:r>
        <w:t>16.</w:t>
      </w:r>
      <w:r>
        <w:tab/>
        <w:t>A vizsgáztatást befolyásoló rendkívüli események kezelése</w:t>
      </w:r>
    </w:p>
    <w:p w14:paraId="3E9C7ABF" w14:textId="77777777" w:rsidR="003E04CD" w:rsidRDefault="00DC45FF">
      <w:pPr>
        <w:pStyle w:val="Zkladntext"/>
      </w:pPr>
      <w:r>
        <w:t>Rendkívüli eseménynek minősül minden olyan zavaró körülmény, amely a vizsgáztatás megszokott menetét megzavarja, előírásszerű lefolytatását megakadályozza, vagy a vizsgázó teljesítményének objektív megítélését akadályozza, így különösen:</w:t>
      </w:r>
    </w:p>
    <w:p w14:paraId="141DD21F" w14:textId="77777777" w:rsidR="003E04CD" w:rsidRDefault="00DC45FF">
      <w:pPr>
        <w:pStyle w:val="Zkladntext"/>
        <w:numPr>
          <w:ilvl w:val="0"/>
          <w:numId w:val="8"/>
        </w:numPr>
      </w:pPr>
      <w:r>
        <w:t>személyazonosság tekintetében a vizsgabiztos megtévesztése vagy annak megkísérlése,</w:t>
      </w:r>
    </w:p>
    <w:p w14:paraId="5712B5D8" w14:textId="77777777" w:rsidR="003E04CD" w:rsidRDefault="00DC45FF">
      <w:pPr>
        <w:pStyle w:val="Zkladntext"/>
        <w:numPr>
          <w:ilvl w:val="0"/>
          <w:numId w:val="8"/>
        </w:numPr>
      </w:pPr>
      <w:r>
        <w:t>meg nem engedett segédeszköz használata, illetve a vizsgadokumentációról bármilyen feljegyzés vagy fényképfelvétel készítése vagy annak megkísérlése,</w:t>
      </w:r>
    </w:p>
    <w:p w14:paraId="03D6FD5C" w14:textId="77777777" w:rsidR="003E04CD" w:rsidRDefault="00DC45FF">
      <w:pPr>
        <w:pStyle w:val="Zkladntext"/>
        <w:numPr>
          <w:ilvl w:val="0"/>
          <w:numId w:val="8"/>
        </w:numPr>
      </w:pPr>
      <w:r>
        <w:t xml:space="preserve">a vizsgabiztos döntésének befolyásolására való törekvés,           </w:t>
      </w:r>
    </w:p>
    <w:p w14:paraId="69C25663" w14:textId="77777777" w:rsidR="003E04CD" w:rsidRDefault="00DC45FF">
      <w:pPr>
        <w:pStyle w:val="Zkladntext"/>
        <w:numPr>
          <w:ilvl w:val="0"/>
          <w:numId w:val="8"/>
        </w:numPr>
      </w:pPr>
      <w:r>
        <w:t>a vizsga rendjének megzavarása vagy annak megkísértése,</w:t>
      </w:r>
    </w:p>
    <w:p w14:paraId="5F78F4FF" w14:textId="77777777" w:rsidR="003E04CD" w:rsidRDefault="00DC45FF">
      <w:pPr>
        <w:pStyle w:val="Zkladntext"/>
        <w:numPr>
          <w:ilvl w:val="0"/>
          <w:numId w:val="8"/>
        </w:numPr>
      </w:pPr>
      <w:r>
        <w:t>a vizsgaterem, vizsgapálya, vizsgahelyszín, jármű, gép, vizsgázó, járművezető alkalmatlansága, rendkívüli időjárási körülmény, stb.</w:t>
      </w:r>
    </w:p>
    <w:p w14:paraId="3E5BBD18" w14:textId="77777777" w:rsidR="003E04CD" w:rsidRDefault="00DC45FF">
      <w:pPr>
        <w:pStyle w:val="Zkladntext"/>
      </w:pPr>
      <w:r>
        <w:t>A rendkívüli eseményről – az eset tényszerű leírása és az érintettek személyes adatainak megadása mellett – a vizsgabiztos a vasútszakmai vezetőt haladéktalanul e-mailben értesíti.</w:t>
      </w:r>
    </w:p>
    <w:p w14:paraId="60720F1E" w14:textId="77777777" w:rsidR="003E04CD" w:rsidRDefault="00DC45FF">
      <w:pPr>
        <w:pStyle w:val="Nadpis1"/>
      </w:pPr>
      <w:bookmarkStart w:id="24" w:name="__RefHeading___Toc5027_4278059951"/>
      <w:bookmarkEnd w:id="24"/>
      <w:r>
        <w:t>17.</w:t>
      </w:r>
      <w:r>
        <w:tab/>
        <w:t>A vizsgáztató szervezet okmányainak kiállítása</w:t>
      </w:r>
    </w:p>
    <w:p w14:paraId="12BAE418" w14:textId="77777777" w:rsidR="003E04CD" w:rsidRDefault="00DC45FF">
      <w:pPr>
        <w:pStyle w:val="Zkladntext"/>
      </w:pPr>
      <w:r>
        <w:t>Az alapvizsgáról hárompéldányos, az időszakos vizsgáról négypéldányos jegyzőkönyvet kell készíteni.</w:t>
      </w:r>
    </w:p>
    <w:p w14:paraId="26CD194E" w14:textId="77777777" w:rsidR="003E04CD" w:rsidRDefault="00DC45FF">
      <w:pPr>
        <w:pStyle w:val="Zkladntext"/>
      </w:pPr>
      <w:r>
        <w:lastRenderedPageBreak/>
        <w:t>A vizsgajegyzőkönyveket és vizsgaigazolásokat lehetőség szerint a vasúti vizsgaközpont (VVK) nyilvántartó rendszeréből kell nyomtatni. Amennyiben ez nem lehetséges, a nyomtatványokat a vizsgáztató szervezet kötelessége előkészíteni.</w:t>
      </w:r>
    </w:p>
    <w:p w14:paraId="25507BBC" w14:textId="77777777" w:rsidR="003E04CD" w:rsidRDefault="00DC45FF">
      <w:pPr>
        <w:pStyle w:val="Zkladntext"/>
      </w:pPr>
      <w:r>
        <w:t xml:space="preserve">A vizsgaigazolásokat és vizsgajegyzőkönyveket egyedi azonosítóval (pl. iktatószám) kell </w:t>
      </w:r>
      <w:proofErr w:type="spellStart"/>
      <w:r>
        <w:t>elllátni</w:t>
      </w:r>
      <w:proofErr w:type="spellEnd"/>
      <w:r>
        <w:t>, fel kell rajtuk tüntetni a vizsgaszervező vasúti társaság megnevezését.</w:t>
      </w:r>
    </w:p>
    <w:p w14:paraId="1BA7B031" w14:textId="77777777" w:rsidR="003E04CD" w:rsidRDefault="00DC45FF">
      <w:pPr>
        <w:pStyle w:val="Zkladntext"/>
      </w:pPr>
      <w:r>
        <w:t xml:space="preserve">A VVK nyilvántartó rendszeréből nyomtatott vizsgadokumentumokat – amennyiben azokon a vizsgáztató szervezet megnevezés ne </w:t>
      </w:r>
      <w:proofErr w:type="spellStart"/>
      <w:r>
        <w:t>mszerepel</w:t>
      </w:r>
      <w:proofErr w:type="spellEnd"/>
      <w:r>
        <w:t xml:space="preserve"> – „Vizsgáztató szervezet: </w:t>
      </w:r>
      <w:proofErr w:type="spellStart"/>
      <w:r>
        <w:t>RailLog</w:t>
      </w:r>
      <w:proofErr w:type="spellEnd"/>
      <w:r>
        <w:t xml:space="preserve"> s.r.o.” felülbélyegzéssel kell ellátni.</w:t>
      </w:r>
    </w:p>
    <w:p w14:paraId="0B1F19ED" w14:textId="77777777" w:rsidR="003E04CD" w:rsidRDefault="00DC45FF">
      <w:pPr>
        <w:pStyle w:val="Zkladntext"/>
      </w:pPr>
      <w:r>
        <w:t xml:space="preserve">A vizsga dokumentációját a vasútszakmai vezető </w:t>
      </w:r>
      <w:proofErr w:type="spellStart"/>
      <w:r>
        <w:t>irattározza</w:t>
      </w:r>
      <w:proofErr w:type="spellEnd"/>
      <w:r>
        <w:t xml:space="preserve">, a vasúti társaság </w:t>
      </w:r>
      <w:proofErr w:type="spellStart"/>
      <w:r>
        <w:t>irattározásra</w:t>
      </w:r>
      <w:proofErr w:type="spellEnd"/>
      <w:r>
        <w:t xml:space="preserve"> vonatkozó szabályainak figyelembevételével</w:t>
      </w:r>
    </w:p>
    <w:p w14:paraId="43324F92" w14:textId="77777777" w:rsidR="003E04CD" w:rsidRDefault="00DC45FF">
      <w:pPr>
        <w:pStyle w:val="Nadpis1"/>
      </w:pPr>
      <w:bookmarkStart w:id="25" w:name="__RefHeading___Toc5029_4278059951"/>
      <w:bookmarkEnd w:id="25"/>
      <w:r>
        <w:t>18.</w:t>
      </w:r>
      <w:r>
        <w:tab/>
        <w:t>A vizsgázó vizsgáztatásának felfüggesztése és a vizsgától való eltiltása</w:t>
      </w:r>
    </w:p>
    <w:p w14:paraId="7C236FE6" w14:textId="77777777" w:rsidR="003E04CD" w:rsidRDefault="00DC45FF">
      <w:pPr>
        <w:pStyle w:val="Zkladntext"/>
      </w:pPr>
      <w:r>
        <w:t>A vizsgabiztos a képzésben részt vevő vizsgáztatását felfüggeszti, és a képzésben részt vevőt az alapvizsgától eltiltja az alábbi esetekben:</w:t>
      </w:r>
    </w:p>
    <w:p w14:paraId="7688BEEA" w14:textId="77777777" w:rsidR="003E04CD" w:rsidRDefault="00DC45FF">
      <w:pPr>
        <w:pStyle w:val="Zkladntext"/>
        <w:numPr>
          <w:ilvl w:val="0"/>
          <w:numId w:val="9"/>
        </w:numPr>
      </w:pPr>
      <w:r>
        <w:t>természetes személyazonosító adatait illetően a vizsgabizottságot (vizsgabiztost) megtévesztette, vagy azt megkísérelte,</w:t>
      </w:r>
    </w:p>
    <w:p w14:paraId="77111AA7" w14:textId="77777777" w:rsidR="003E04CD" w:rsidRDefault="00DC45FF">
      <w:pPr>
        <w:pStyle w:val="Zkladntext"/>
        <w:numPr>
          <w:ilvl w:val="0"/>
          <w:numId w:val="9"/>
        </w:numPr>
      </w:pPr>
      <w:r>
        <w:t>a vizsgabizottság (vizsgabiztos) döntését jogtalan előny adásával vagy erre vonatkozó ígéretével befolyásolni törekedett.</w:t>
      </w:r>
    </w:p>
    <w:p w14:paraId="66387E6A" w14:textId="77777777" w:rsidR="003E04CD" w:rsidRDefault="00DC45FF">
      <w:pPr>
        <w:pStyle w:val="Zkladntext"/>
      </w:pPr>
      <w:r>
        <w:t>A vizsgabizottság (vizsgabiztos) a vizsgázó vizsgáztatását felfüggeszti, és a vizsgázót az alapvizsgától legalább egy, de legfeljebb hat hónap időtartamra eltiltja, ha a vizsgázó</w:t>
      </w:r>
    </w:p>
    <w:p w14:paraId="20568B31" w14:textId="77777777" w:rsidR="003E04CD" w:rsidRDefault="00DC45FF">
      <w:pPr>
        <w:pStyle w:val="Zkladntext"/>
        <w:numPr>
          <w:ilvl w:val="0"/>
          <w:numId w:val="9"/>
        </w:numPr>
      </w:pPr>
      <w:r>
        <w:t>a vizsgán szeszesitaltól vagy anyagtól vagy szertől befolyásolt állapotban jelent meg,</w:t>
      </w:r>
    </w:p>
    <w:p w14:paraId="332692BF" w14:textId="77777777" w:rsidR="003E04CD" w:rsidRDefault="00DC45FF">
      <w:pPr>
        <w:pStyle w:val="Zkladntext"/>
        <w:numPr>
          <w:ilvl w:val="0"/>
          <w:numId w:val="9"/>
        </w:numPr>
      </w:pPr>
      <w:r>
        <w:t>a vizsgán meg nem engedett segédeszközt használt, vagy annak használatát megkísérelte,</w:t>
      </w:r>
    </w:p>
    <w:p w14:paraId="69D868D9" w14:textId="77777777" w:rsidR="003E04CD" w:rsidRDefault="00DC45FF">
      <w:pPr>
        <w:pStyle w:val="Zkladntext"/>
        <w:numPr>
          <w:ilvl w:val="0"/>
          <w:numId w:val="9"/>
        </w:numPr>
      </w:pPr>
      <w:r>
        <w:t>a vizsga rendjét zavarta.</w:t>
      </w:r>
    </w:p>
    <w:p w14:paraId="2E3B4744" w14:textId="77777777" w:rsidR="003E04CD" w:rsidRDefault="00DC45FF">
      <w:pPr>
        <w:pStyle w:val="Zkladntext"/>
      </w:pPr>
      <w:r>
        <w:t>A vizsgabiztos a felfüggesztés tényét az elektronikus eredményrögzítő felületen rögzíti, valamint a vasútüzem-vezetőt értesíti.</w:t>
      </w:r>
    </w:p>
    <w:p w14:paraId="3329CDE7" w14:textId="77777777" w:rsidR="003E04CD" w:rsidRDefault="00DC45FF">
      <w:pPr>
        <w:pStyle w:val="Zkladntext"/>
      </w:pPr>
      <w:r>
        <w:lastRenderedPageBreak/>
        <w:t>A vizsgázó vizsgájának felfüggesztése, vagy a vizsgázó eltiltása arra a vizsgatevékenységre vonatkozhat, amelynek teljesítése során a felfüggesztésre vagy eltiltásra okot adott. Az eltiltás időtartamának arányosnak kell lennie az azt előidéző okkal.</w:t>
      </w:r>
    </w:p>
    <w:p w14:paraId="65CCD45B" w14:textId="77777777" w:rsidR="003E04CD" w:rsidRDefault="00DC45FF">
      <w:pPr>
        <w:pStyle w:val="Nadpis1"/>
      </w:pPr>
      <w:bookmarkStart w:id="26" w:name="__RefHeading___Toc5031_4278059951"/>
      <w:bookmarkEnd w:id="26"/>
      <w:r>
        <w:t>19.</w:t>
      </w:r>
      <w:r>
        <w:tab/>
      </w:r>
      <w:r>
        <w:t>A vizsgán történő részvételi szándék bejelentése</w:t>
      </w:r>
    </w:p>
    <w:p w14:paraId="7DFBA529" w14:textId="77777777" w:rsidR="003E04CD" w:rsidRDefault="00DC45FF">
      <w:pPr>
        <w:pStyle w:val="Zkladntext"/>
      </w:pPr>
      <w:r>
        <w:t>A KR-ben meghatározott személy(</w:t>
      </w:r>
      <w:proofErr w:type="spellStart"/>
      <w:r>
        <w:t>ek</w:t>
      </w:r>
      <w:proofErr w:type="spellEnd"/>
      <w:r>
        <w:t>) a vizsgán történő részvételi szándékukat írásban jelezhetik. A részvételi szándékot a vizsgaszervező vasúti társaságnak kell jelezni a KR-ben meghatározott határidő betartásával.</w:t>
      </w:r>
    </w:p>
    <w:p w14:paraId="39FC0AA2" w14:textId="77777777" w:rsidR="003E04CD" w:rsidRDefault="00DC45FF">
      <w:pPr>
        <w:pStyle w:val="Zkladntext"/>
      </w:pPr>
      <w:r>
        <w:t>A kérelmet a kérelmező írásban; elektronikusan, postai úton, vagy időpontegyeztetés után személyesen nyújthatja be.</w:t>
      </w:r>
    </w:p>
    <w:p w14:paraId="1530C2B2" w14:textId="77777777" w:rsidR="003E04CD" w:rsidRDefault="00DC45FF">
      <w:pPr>
        <w:pStyle w:val="Zkladntext"/>
      </w:pPr>
      <w:r>
        <w:t>A részvételi szándék bejelentésekor az alábbi adatokat kell közölni:</w:t>
      </w:r>
    </w:p>
    <w:p w14:paraId="0AA9D1FA" w14:textId="77777777" w:rsidR="003E04CD" w:rsidRDefault="00DC45FF">
      <w:pPr>
        <w:pStyle w:val="Zkladntext"/>
        <w:numPr>
          <w:ilvl w:val="0"/>
          <w:numId w:val="10"/>
        </w:numPr>
      </w:pPr>
      <w:r>
        <w:t>a vizsgázó természetes személyazonosító adatait (neve, születési neve, születési ideje, anyja neve),</w:t>
      </w:r>
    </w:p>
    <w:p w14:paraId="2FE916D9" w14:textId="77777777" w:rsidR="003E04CD" w:rsidRDefault="00DC45FF">
      <w:pPr>
        <w:pStyle w:val="Zkladntext"/>
        <w:numPr>
          <w:ilvl w:val="0"/>
          <w:numId w:val="10"/>
        </w:numPr>
      </w:pPr>
      <w:r>
        <w:t>a vizsga adatait (megnevezését, típusát, helyszínét, időpontját),</w:t>
      </w:r>
    </w:p>
    <w:p w14:paraId="1C1E510F" w14:textId="77777777" w:rsidR="003E04CD" w:rsidRDefault="00DC45FF">
      <w:pPr>
        <w:pStyle w:val="Zkladntext"/>
        <w:numPr>
          <w:ilvl w:val="0"/>
          <w:numId w:val="10"/>
        </w:numPr>
      </w:pPr>
      <w:r>
        <w:t>a résztvevő természetes személyazonosító adatait (neve, születési neve, születési ideje, anyja neve),</w:t>
      </w:r>
    </w:p>
    <w:p w14:paraId="52187833" w14:textId="77777777" w:rsidR="003E04CD" w:rsidRDefault="00DC45FF">
      <w:pPr>
        <w:pStyle w:val="Zkladntext"/>
        <w:numPr>
          <w:ilvl w:val="0"/>
          <w:numId w:val="10"/>
        </w:numPr>
      </w:pPr>
      <w:r>
        <w:t>a részvételi szándék igazolását (KR rendelkezéseinek megfelelően)</w:t>
      </w:r>
    </w:p>
    <w:p w14:paraId="0FC82EDF" w14:textId="77777777" w:rsidR="003E04CD" w:rsidRDefault="00DC45FF">
      <w:pPr>
        <w:pStyle w:val="Zkladntext"/>
        <w:numPr>
          <w:ilvl w:val="0"/>
          <w:numId w:val="10"/>
        </w:numPr>
      </w:pPr>
      <w:r>
        <w:t>a résztvevő elérhetőségi adatait (telefonszám, e-mail),</w:t>
      </w:r>
    </w:p>
    <w:p w14:paraId="0DBADB89" w14:textId="77777777" w:rsidR="003E04CD" w:rsidRDefault="00DC45FF">
      <w:pPr>
        <w:pStyle w:val="Zkladntext"/>
        <w:numPr>
          <w:ilvl w:val="0"/>
          <w:numId w:val="10"/>
        </w:numPr>
      </w:pPr>
      <w:r>
        <w:t>a kérelmező aláírását (elektronikusan benyújtott kérelem esetén a NISZ AVDH szolgáltatásával elektronikusan aláírva).</w:t>
      </w:r>
    </w:p>
    <w:p w14:paraId="5484C4ED" w14:textId="77777777" w:rsidR="003E04CD" w:rsidRDefault="00DC45FF">
      <w:pPr>
        <w:pStyle w:val="Zkladntext"/>
      </w:pPr>
      <w:r>
        <w:t>Az RLL a kitűzött vizsgaidőpont előtt legalább 48 órával közli döntését a vizsgán való részvételről a kérelmezővel, az általa megadott elérhetőségi adatok egyikén.</w:t>
      </w:r>
    </w:p>
    <w:p w14:paraId="04838DBF" w14:textId="77777777" w:rsidR="003E04CD" w:rsidRDefault="00DC45FF">
      <w:pPr>
        <w:pStyle w:val="Nadpis1"/>
      </w:pPr>
      <w:bookmarkStart w:id="27" w:name="__RefHeading___Toc5033_4278059951"/>
      <w:bookmarkEnd w:id="27"/>
      <w:r>
        <w:t>20.</w:t>
      </w:r>
      <w:r>
        <w:tab/>
        <w:t>A távolmaradás igazolásának formája</w:t>
      </w:r>
    </w:p>
    <w:p w14:paraId="45E17D1A" w14:textId="77777777" w:rsidR="003E04CD" w:rsidRDefault="00DC45FF">
      <w:pPr>
        <w:pStyle w:val="Zkladntext"/>
      </w:pPr>
      <w:r>
        <w:t xml:space="preserve">A vizsgázó távolmaradását a vasútszakmai vezető igazolhatja. A vizsgázó távolmaradásának igazolását a vasútszakmai vezető </w:t>
      </w:r>
      <w:proofErr w:type="spellStart"/>
      <w:r>
        <w:t>kéziratilag</w:t>
      </w:r>
      <w:proofErr w:type="spellEnd"/>
      <w:r>
        <w:t xml:space="preserve"> rávezeti a vizsgáztató szervezet példányára, valamint rögzíti az elektronikus nyilvántartó felületen.</w:t>
      </w:r>
    </w:p>
    <w:p w14:paraId="7689286E" w14:textId="77777777" w:rsidR="003E04CD" w:rsidRDefault="00DC45FF">
      <w:pPr>
        <w:pStyle w:val="Nadpis1"/>
      </w:pPr>
      <w:bookmarkStart w:id="28" w:name="__RefHeading___Toc5035_4278059951"/>
      <w:bookmarkEnd w:id="28"/>
      <w:r>
        <w:lastRenderedPageBreak/>
        <w:t>21.</w:t>
      </w:r>
      <w:r>
        <w:tab/>
        <w:t>A vizsgák okmányai</w:t>
      </w:r>
    </w:p>
    <w:p w14:paraId="06E109F0" w14:textId="4D9E7608" w:rsidR="003E04CD" w:rsidRDefault="00DC45FF">
      <w:pPr>
        <w:pStyle w:val="Zkladntext"/>
      </w:pPr>
      <w:r>
        <w:t>Amennyiben a 17. pont szerinti ok</w:t>
      </w:r>
      <w:r w:rsidR="000B56AF">
        <w:t>m</w:t>
      </w:r>
      <w:r>
        <w:t>ányok</w:t>
      </w:r>
      <w:r>
        <w:t xml:space="preserve"> nyomtatása a vizsgaközpont számítástechnikai rendszeréből nem lehetséges, a mellékletek szerinti alap-és időszakos vizsgajegyzőkönyvet, valamint alapvizsga-igazolás nyomtatványokat kell használni.</w:t>
      </w:r>
    </w:p>
    <w:p w14:paraId="0246E6FA" w14:textId="77777777" w:rsidR="003E04CD" w:rsidRDefault="00DC45FF">
      <w:pPr>
        <w:pStyle w:val="Nadpis1"/>
      </w:pPr>
      <w:bookmarkStart w:id="29" w:name="__RefHeading___Toc5037_4278059951"/>
      <w:bookmarkEnd w:id="29"/>
      <w:r>
        <w:t>22.</w:t>
      </w:r>
      <w:r>
        <w:tab/>
        <w:t>A más vasúti társaságnál vasúti társasági vizsgákon megszerzett képesítések elismerése</w:t>
      </w:r>
    </w:p>
    <w:p w14:paraId="7517AD6E" w14:textId="77777777" w:rsidR="003E04CD" w:rsidRDefault="00DC45FF">
      <w:pPr>
        <w:pStyle w:val="Nadpis2"/>
      </w:pPr>
      <w:bookmarkStart w:id="30" w:name="__RefHeading___Toc881_2072137199"/>
      <w:bookmarkEnd w:id="30"/>
      <w:r>
        <w:t>22.1.</w:t>
      </w:r>
      <w:r>
        <w:tab/>
        <w:t>Típusismeret alapvizsga elismerése</w:t>
      </w:r>
    </w:p>
    <w:p w14:paraId="2865400A" w14:textId="77777777" w:rsidR="003E04CD" w:rsidRDefault="00DC45FF">
      <w:pPr>
        <w:pStyle w:val="Zkladntext"/>
      </w:pPr>
      <w:r>
        <w:t>Az RLL a más vasúti társaság által szervezett alapvizsgán megszerzett típusismeret alapvizsgát feltétel nélkül elismeri.</w:t>
      </w:r>
    </w:p>
    <w:p w14:paraId="4F567967" w14:textId="77777777" w:rsidR="003E04CD" w:rsidRDefault="00DC45FF">
      <w:pPr>
        <w:pStyle w:val="Nadpis2"/>
      </w:pPr>
      <w:bookmarkStart w:id="31" w:name="__RefHeading___Toc883_2072137199"/>
      <w:bookmarkEnd w:id="31"/>
      <w:r>
        <w:t>22.2.</w:t>
      </w:r>
      <w:r>
        <w:tab/>
        <w:t>Vonal-, állomás-, illetve helyismeret alapvizsga elismerése</w:t>
      </w:r>
    </w:p>
    <w:p w14:paraId="437C3FFB" w14:textId="77777777" w:rsidR="003E04CD" w:rsidRDefault="00DC45FF">
      <w:pPr>
        <w:pStyle w:val="Zkladntext"/>
      </w:pPr>
      <w:r>
        <w:t>Az RLL a más vasúti társaság által szervezett alapvizsgán megszerzett vonal-, állomás-, illetve helyismeret alapvizsgát feltétel nélkül elismeri.</w:t>
      </w:r>
    </w:p>
    <w:p w14:paraId="10AF58AD" w14:textId="77777777" w:rsidR="003E04CD" w:rsidRDefault="00DC45FF">
      <w:pPr>
        <w:pStyle w:val="Nadpis2"/>
      </w:pPr>
      <w:bookmarkStart w:id="32" w:name="__RefHeading___Toc885_2072137199"/>
      <w:bookmarkEnd w:id="32"/>
      <w:r>
        <w:t>22.3.</w:t>
      </w:r>
      <w:r>
        <w:tab/>
        <w:t>Egyéb alapvizsgák elismerése</w:t>
      </w:r>
    </w:p>
    <w:p w14:paraId="31E9AC2E" w14:textId="77777777" w:rsidR="003E04CD" w:rsidRDefault="00DC45FF">
      <w:pPr>
        <w:pStyle w:val="Zkladntext"/>
      </w:pPr>
      <w:r>
        <w:t>A 22.1-2 pontokban fel nem sorolt alapvizsgákat a RLL abban az esetben ismeri el,</w:t>
      </w:r>
    </w:p>
    <w:p w14:paraId="6C7F378D" w14:textId="77777777" w:rsidR="003E04CD" w:rsidRDefault="00DC45FF">
      <w:pPr>
        <w:pStyle w:val="Zkladntext"/>
        <w:numPr>
          <w:ilvl w:val="0"/>
          <w:numId w:val="11"/>
        </w:numPr>
      </w:pPr>
      <w:r>
        <w:t>ha a képzési programban szereplő tudásanyag megegyezik a Vasúti Vizsgaközpont által közzétett követelményekkel, vagy</w:t>
      </w:r>
    </w:p>
    <w:p w14:paraId="67830A11" w14:textId="77777777" w:rsidR="003E04CD" w:rsidRDefault="00DC45FF">
      <w:pPr>
        <w:pStyle w:val="Zkladntext"/>
        <w:numPr>
          <w:ilvl w:val="0"/>
          <w:numId w:val="11"/>
        </w:numPr>
      </w:pPr>
      <w:r>
        <w:t>ha a felvételi eljárás részét képező elbeszélgetésen az elvárt tudásanyagot felmérő szóbeli kérdésekre a felvételiző helyes választ ad.</w:t>
      </w:r>
    </w:p>
    <w:p w14:paraId="2926131B" w14:textId="77777777" w:rsidR="003E04CD" w:rsidRDefault="00DC45FF">
      <w:pPr>
        <w:pStyle w:val="Nadpis1"/>
      </w:pPr>
      <w:bookmarkStart w:id="33" w:name="__RefHeading___Toc5039_4278059951"/>
      <w:bookmarkEnd w:id="33"/>
      <w:r>
        <w:t>23.</w:t>
      </w:r>
      <w:r>
        <w:tab/>
        <w:t>Alapvizsga halasztása</w:t>
      </w:r>
    </w:p>
    <w:p w14:paraId="34B7BFFC" w14:textId="77777777" w:rsidR="003E04CD" w:rsidRDefault="00DC45FF">
      <w:pPr>
        <w:pStyle w:val="Zkladntext"/>
      </w:pPr>
      <w:r>
        <w:t>A halasztás iránti kérelmet az RLL szervezet akkor fogadja el, ha a képzésben részt vevő rajta kívülálló okból vagy egyéb méltányolható körülmény alapján kéri a halasztást. Az engedélyezett halasztás időtartama az egy évet nem haladhatja meg.</w:t>
      </w:r>
    </w:p>
    <w:p w14:paraId="084D03D6" w14:textId="77777777" w:rsidR="003E04CD" w:rsidRDefault="00DC45FF">
      <w:pPr>
        <w:pStyle w:val="Nadpis1"/>
      </w:pPr>
      <w:bookmarkStart w:id="34" w:name="__RefHeading___Toc5041_4278059951"/>
      <w:bookmarkEnd w:id="34"/>
      <w:r>
        <w:t>24.</w:t>
      </w:r>
      <w:r>
        <w:tab/>
        <w:t>Egyeztetési eljárás</w:t>
      </w:r>
    </w:p>
    <w:p w14:paraId="0D98E1B1" w14:textId="77777777" w:rsidR="003E04CD" w:rsidRDefault="00DC45FF">
      <w:pPr>
        <w:pStyle w:val="Zkladntext"/>
      </w:pPr>
      <w:r>
        <w:t>Az egyeztetési eljárás a vizsgáztatással kapcsolatos döntés meghozatalától számított 5 napon belül kezdeményezhető.</w:t>
      </w:r>
    </w:p>
    <w:p w14:paraId="3D16F893" w14:textId="77777777" w:rsidR="003E04CD" w:rsidRDefault="00DC45FF">
      <w:pPr>
        <w:pStyle w:val="Zkladntext"/>
      </w:pPr>
      <w:r>
        <w:lastRenderedPageBreak/>
        <w:t>Az egyeztetési eljárás indítása iránti kérelemnek tartalmaznia kell az egyeztetést kezdeményező nevét, a képviselt szervezet nevét, a KR 35/E § szerinti jogállását, az egyeztetés alapjául szolgáló döntés pontos tárgyát, az egyeztetési eljárás kezdeményezésének okát.</w:t>
      </w:r>
    </w:p>
    <w:p w14:paraId="354AFEDD" w14:textId="77777777" w:rsidR="003E04CD" w:rsidRDefault="00DC45FF">
      <w:pPr>
        <w:pStyle w:val="Zkladntext"/>
      </w:pPr>
      <w:r>
        <w:t>A vizsgáztató szervezet az egyeztetés eredményéről írásban értesíti az egyeztetést kezdeményezőt.</w:t>
      </w:r>
    </w:p>
    <w:p w14:paraId="19202780" w14:textId="77777777" w:rsidR="003E04CD" w:rsidRDefault="00DC45FF">
      <w:pPr>
        <w:pStyle w:val="Zkladntext"/>
      </w:pPr>
      <w:r>
        <w:t>A benyújtott kérelem alapján a vasútüzem-vezető az egyeztetési eljárást lefolytatja, szükség esetén személyes egyeztetést, intézkedést kezdeményez, majd az egyeztetés eredményéről az egyeztetést kezdeményezőt írásban értesíti.</w:t>
      </w:r>
    </w:p>
    <w:p w14:paraId="01980A5B" w14:textId="77777777" w:rsidR="003E04CD" w:rsidRDefault="00DC45FF">
      <w:pPr>
        <w:pStyle w:val="Zkladntext"/>
      </w:pPr>
      <w:r>
        <w:t>A vizsgatevékenységnél felmerülő véleménykülönbség esetén, ha a helyszínen a véleménykülönbség nem tisztázható, annak feloldása egyeztetési eljárás keretében történik.</w:t>
      </w:r>
    </w:p>
    <w:p w14:paraId="40D20905" w14:textId="77777777" w:rsidR="003E04CD" w:rsidRDefault="00DC45FF">
      <w:pPr>
        <w:pStyle w:val="Nadpis1"/>
      </w:pPr>
      <w:bookmarkStart w:id="35" w:name="__RefHeading___Toc5043_4278059951"/>
      <w:bookmarkEnd w:id="35"/>
      <w:r>
        <w:t>25.</w:t>
      </w:r>
      <w:r>
        <w:tab/>
        <w:t>A vizsgaszabályzat hatálya, közzététele, módosítása</w:t>
      </w:r>
    </w:p>
    <w:p w14:paraId="54B0D4FD" w14:textId="77777777" w:rsidR="003E04CD" w:rsidRDefault="00DC45FF">
      <w:pPr>
        <w:pStyle w:val="Zkladntext"/>
      </w:pPr>
      <w:r>
        <w:t>Jelen szabályzat a vasúti közlekedési hatóság jóváhagyását követően, legkorábban a vizsgáztató szervezet honlapján történő közzétételt követő 15. napon lép hatályba.</w:t>
      </w:r>
    </w:p>
    <w:p w14:paraId="1EE7E0DA" w14:textId="77777777" w:rsidR="003E04CD" w:rsidRDefault="00DC45FF">
      <w:pPr>
        <w:pStyle w:val="Zkladntext"/>
      </w:pPr>
      <w:r>
        <w:t>Az RLL a szabályzatot legalább évente felülvizsgálja, és az időközben bekövetkezett változásokat figyelembe véve aktualizálja. A módosítás alkalmazásához – a függelékek módosítása kivételével – a vasúti közlekedési hatóság jóváhagyása szükséges. A módosítást a hatálybalépése előtt legkésőbb 15 nappal korábban a honlapján közzéteszi.</w:t>
      </w:r>
    </w:p>
    <w:p w14:paraId="40A9D719" w14:textId="77777777" w:rsidR="003E04CD" w:rsidRDefault="00DC45FF">
      <w:pPr>
        <w:pStyle w:val="Zkladntext"/>
      </w:pPr>
      <w:r>
        <w:t>Az RLL vizsgaszervező vasúti társaságként csak típusismeret, vonalismeret (állomásismeret, helyismeret) vizsgákat szervez. Felmerülő szükség esetén a Vizsgaszabályzat és eljárási rendet módosítani kell.</w:t>
      </w:r>
    </w:p>
    <w:p w14:paraId="4EADB3FF" w14:textId="77777777" w:rsidR="003E04CD" w:rsidRDefault="00DC45FF">
      <w:pPr>
        <w:pStyle w:val="Nadpis1"/>
      </w:pPr>
      <w:bookmarkStart w:id="36" w:name="__RefHeading___Toc5045_4278059951"/>
      <w:bookmarkEnd w:id="36"/>
      <w:r>
        <w:t>26.</w:t>
      </w:r>
      <w:r>
        <w:tab/>
        <w:t>Függelékek</w:t>
      </w:r>
    </w:p>
    <w:p w14:paraId="78DF1646" w14:textId="77777777" w:rsidR="003E04CD" w:rsidRDefault="00DC45FF">
      <w:pPr>
        <w:pStyle w:val="Zkladntext"/>
      </w:pPr>
      <w:r>
        <w:t>A függelékek az egyes vizsgák megnevezését, ismeretanyagát, a vizsgákhoz tartozó vizsgafeladatokat és az alapvizsgák lebonyolításának módszertanát tartalmazzák.</w:t>
      </w:r>
    </w:p>
    <w:p w14:paraId="21667710" w14:textId="77777777" w:rsidR="003E04CD" w:rsidRDefault="00DC45FF">
      <w:pPr>
        <w:pStyle w:val="Zkladntext"/>
      </w:pPr>
      <w:r>
        <w:t>A függelékek a Vizsgaszabályzat és Eljárási Rend Függelékek címen papíron és elektronikus formában kerül kiadásra. Az RLL a függelékeket, azok módosítását és hatályon kívül helyezését a honlapján teszi közzé.</w:t>
      </w:r>
    </w:p>
    <w:p w14:paraId="72F26F8F" w14:textId="77777777" w:rsidR="003E04CD" w:rsidRDefault="003E04CD">
      <w:pPr>
        <w:pStyle w:val="Nadpis2"/>
      </w:pPr>
    </w:p>
    <w:p w14:paraId="59AEBD7B" w14:textId="77777777" w:rsidR="003E04CD" w:rsidRDefault="00DC45FF">
      <w:pPr>
        <w:pStyle w:val="Nadpis1"/>
      </w:pPr>
      <w:bookmarkStart w:id="37" w:name="__RefHeading___Toc5047_4278059951"/>
      <w:bookmarkEnd w:id="37"/>
      <w:r>
        <w:t>27.</w:t>
      </w:r>
      <w:r>
        <w:tab/>
        <w:t>Mellékletek</w:t>
      </w:r>
    </w:p>
    <w:p w14:paraId="1FA7ED54" w14:textId="77777777" w:rsidR="003E04CD" w:rsidRDefault="00DC45FF">
      <w:pPr>
        <w:pStyle w:val="Zkladntext"/>
        <w:numPr>
          <w:ilvl w:val="0"/>
          <w:numId w:val="12"/>
        </w:numPr>
      </w:pPr>
      <w:r>
        <w:t>Időszakos vizsga jegyzőkönyve</w:t>
      </w:r>
    </w:p>
    <w:p w14:paraId="08487A99" w14:textId="77777777" w:rsidR="003E04CD" w:rsidRDefault="00DC45FF">
      <w:pPr>
        <w:pStyle w:val="Zkladntext"/>
        <w:numPr>
          <w:ilvl w:val="0"/>
          <w:numId w:val="12"/>
        </w:numPr>
      </w:pPr>
      <w:r>
        <w:t>Nyilatkozat</w:t>
      </w:r>
    </w:p>
    <w:p w14:paraId="5F93F335" w14:textId="77777777" w:rsidR="003E04CD" w:rsidRDefault="00DC45FF">
      <w:pPr>
        <w:pStyle w:val="Zkladntext"/>
        <w:numPr>
          <w:ilvl w:val="0"/>
          <w:numId w:val="12"/>
        </w:numPr>
      </w:pPr>
      <w:r>
        <w:t>Alapvizsga jegyzőkönyv</w:t>
      </w:r>
    </w:p>
    <w:p w14:paraId="49E617DD" w14:textId="77777777" w:rsidR="003E04CD" w:rsidRDefault="00DC45FF">
      <w:pPr>
        <w:pStyle w:val="Zkladntext"/>
        <w:numPr>
          <w:ilvl w:val="0"/>
          <w:numId w:val="12"/>
        </w:numPr>
      </w:pPr>
      <w:r>
        <w:t>Alapvizsga igazolás</w:t>
      </w:r>
    </w:p>
    <w:sectPr w:rsidR="003E04CD" w:rsidSect="00CA7557">
      <w:footerReference w:type="default" r:id="rId14"/>
      <w:pgSz w:w="11906" w:h="16838"/>
      <w:pgMar w:top="2127" w:right="1134" w:bottom="1693" w:left="1134" w:header="0" w:footer="1134" w:gutter="0"/>
      <w:pgNumType w:start="1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2C32" w14:textId="77777777" w:rsidR="00DC45FF" w:rsidRDefault="00DC45FF">
      <w:r>
        <w:separator/>
      </w:r>
    </w:p>
  </w:endnote>
  <w:endnote w:type="continuationSeparator" w:id="0">
    <w:p w14:paraId="4A64642F" w14:textId="77777777" w:rsidR="00DC45FF" w:rsidRDefault="00D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C586C" w14:textId="77777777" w:rsidR="00CA7557" w:rsidRDefault="00CA75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C743" w14:textId="77777777" w:rsidR="00CA7557" w:rsidRDefault="00CA75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2FB9" w14:textId="77777777" w:rsidR="00CA7557" w:rsidRDefault="00CA7557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5E2C" w14:textId="77777777" w:rsidR="003E04CD" w:rsidRDefault="00DC45FF">
    <w:pPr>
      <w:pStyle w:val="Pta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F5EA8" w14:textId="77777777" w:rsidR="00DC45FF" w:rsidRDefault="00DC45FF">
      <w:r>
        <w:separator/>
      </w:r>
    </w:p>
  </w:footnote>
  <w:footnote w:type="continuationSeparator" w:id="0">
    <w:p w14:paraId="4E72BC3F" w14:textId="77777777" w:rsidR="00DC45FF" w:rsidRDefault="00D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98AB" w14:textId="77777777" w:rsidR="00CA7557" w:rsidRDefault="00CA75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26" w:tblpY="564"/>
      <w:tblOverlap w:val="never"/>
      <w:tblW w:w="9991" w:type="dxa"/>
      <w:tblInd w:w="0" w:type="dxa"/>
      <w:tblCellMar>
        <w:top w:w="14" w:type="dxa"/>
        <w:left w:w="68" w:type="dxa"/>
        <w:right w:w="18" w:type="dxa"/>
      </w:tblCellMar>
      <w:tblLook w:val="04A0" w:firstRow="1" w:lastRow="0" w:firstColumn="1" w:lastColumn="0" w:noHBand="0" w:noVBand="1"/>
    </w:tblPr>
    <w:tblGrid>
      <w:gridCol w:w="1128"/>
      <w:gridCol w:w="1277"/>
      <w:gridCol w:w="5104"/>
      <w:gridCol w:w="2482"/>
    </w:tblGrid>
    <w:tr w:rsidR="00CA7557" w14:paraId="1190DBE7" w14:textId="77777777" w:rsidTr="004849FE">
      <w:trPr>
        <w:trHeight w:val="379"/>
      </w:trPr>
      <w:tc>
        <w:tcPr>
          <w:tcW w:w="11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9A0E64" w14:textId="77777777" w:rsidR="00CA7557" w:rsidRDefault="00CA7557" w:rsidP="00CA7557">
          <w:pPr>
            <w:spacing w:line="259" w:lineRule="auto"/>
            <w:ind w:left="1"/>
          </w:pPr>
          <w:proofErr w:type="spellStart"/>
          <w:r>
            <w:rPr>
              <w:rFonts w:ascii="Arial" w:eastAsia="Arial" w:hAnsi="Arial" w:cs="Arial"/>
              <w:sz w:val="16"/>
            </w:rPr>
            <w:t>Érvényesség</w:t>
          </w:r>
          <w:proofErr w:type="spellEnd"/>
          <w:r>
            <w:rPr>
              <w:rFonts w:ascii="Arial" w:eastAsia="Arial" w:hAnsi="Arial" w:cs="Arial"/>
              <w:sz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16"/>
            </w:rPr>
            <w:t>kezdete</w:t>
          </w:r>
          <w:proofErr w:type="spellEnd"/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2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26DCE2" w14:textId="4607E5B6" w:rsidR="00CA7557" w:rsidRDefault="00CA7557" w:rsidP="00CA7557">
          <w:pPr>
            <w:spacing w:line="259" w:lineRule="auto"/>
            <w:ind w:left="1"/>
          </w:pPr>
          <w:r>
            <w:rPr>
              <w:rFonts w:ascii="Arial" w:eastAsia="Arial" w:hAnsi="Arial" w:cs="Arial"/>
            </w:rPr>
            <w:t>2024.12.15.</w:t>
          </w: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51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9F499AC" w14:textId="1D0DC3AD" w:rsidR="00CA7557" w:rsidRDefault="00CA7557" w:rsidP="00CA7557">
          <w:pPr>
            <w:spacing w:line="259" w:lineRule="auto"/>
            <w:ind w:right="55"/>
            <w:jc w:val="center"/>
          </w:pPr>
          <w:proofErr w:type="spellStart"/>
          <w:r>
            <w:rPr>
              <w:b/>
            </w:rPr>
            <w:t>Vizsgaszabályzat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és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eljárási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rend</w:t>
          </w:r>
          <w:proofErr w:type="spellEnd"/>
        </w:p>
        <w:p w14:paraId="67B857F0" w14:textId="77777777" w:rsidR="00CA7557" w:rsidRDefault="00CA7557" w:rsidP="00CA7557">
          <w:pPr>
            <w:spacing w:line="259" w:lineRule="auto"/>
            <w:ind w:left="4"/>
            <w:jc w:val="center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24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128714" w14:textId="77777777" w:rsidR="00CA7557" w:rsidRDefault="00CA7557" w:rsidP="00CA7557">
          <w:pPr>
            <w:spacing w:line="259" w:lineRule="auto"/>
            <w:ind w:left="4"/>
            <w:jc w:val="center"/>
          </w:pPr>
          <w:r>
            <w:t xml:space="preserve"> </w:t>
          </w:r>
        </w:p>
        <w:p w14:paraId="2FD4CB88" w14:textId="77777777" w:rsidR="00CA7557" w:rsidRDefault="00CA7557" w:rsidP="00CA7557">
          <w:pPr>
            <w:spacing w:line="259" w:lineRule="auto"/>
            <w:jc w:val="right"/>
          </w:pPr>
          <w:r>
            <w:rPr>
              <w:noProof/>
            </w:rPr>
            <w:drawing>
              <wp:inline distT="0" distB="0" distL="0" distR="0" wp14:anchorId="61CE5645" wp14:editId="43D080F7">
                <wp:extent cx="1485900" cy="601980"/>
                <wp:effectExtent l="0" t="0" r="0" b="7620"/>
                <wp:docPr id="1120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</w:rPr>
            <w:t xml:space="preserve"> </w:t>
          </w:r>
        </w:p>
      </w:tc>
    </w:tr>
    <w:tr w:rsidR="00CA7557" w14:paraId="24640C5F" w14:textId="77777777" w:rsidTr="004849FE">
      <w:trPr>
        <w:trHeight w:val="310"/>
      </w:trPr>
      <w:tc>
        <w:tcPr>
          <w:tcW w:w="11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D50E8EF" w14:textId="77777777" w:rsidR="00CA7557" w:rsidRDefault="00CA7557" w:rsidP="00CA7557">
          <w:pPr>
            <w:spacing w:line="259" w:lineRule="auto"/>
            <w:ind w:left="1"/>
          </w:pPr>
          <w:proofErr w:type="spellStart"/>
          <w:r>
            <w:rPr>
              <w:rFonts w:ascii="Arial" w:eastAsia="Arial" w:hAnsi="Arial" w:cs="Arial"/>
              <w:sz w:val="16"/>
            </w:rPr>
            <w:t>Iktatószám</w:t>
          </w:r>
          <w:proofErr w:type="spellEnd"/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2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05059F" w14:textId="6536F374" w:rsidR="00CA7557" w:rsidRDefault="00CA7557" w:rsidP="00CA7557">
          <w:pPr>
            <w:spacing w:line="259" w:lineRule="auto"/>
            <w:ind w:left="1"/>
          </w:pPr>
          <w:r>
            <w:rPr>
              <w:rFonts w:ascii="Arial" w:eastAsia="Arial" w:hAnsi="Arial" w:cs="Arial"/>
            </w:rPr>
            <w:t>ER21</w:t>
          </w: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FB574B5" w14:textId="77777777" w:rsidR="00CA7557" w:rsidRDefault="00CA7557" w:rsidP="00CA7557">
          <w:pPr>
            <w:spacing w:after="160" w:line="259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F4B3CB1" w14:textId="77777777" w:rsidR="00CA7557" w:rsidRDefault="00CA7557" w:rsidP="00CA7557">
          <w:pPr>
            <w:spacing w:after="160" w:line="259" w:lineRule="auto"/>
          </w:pPr>
        </w:p>
      </w:tc>
    </w:tr>
    <w:tr w:rsidR="00CA7557" w14:paraId="599C7200" w14:textId="77777777" w:rsidTr="004849FE">
      <w:trPr>
        <w:trHeight w:val="581"/>
      </w:trPr>
      <w:tc>
        <w:tcPr>
          <w:tcW w:w="11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D3B6996" w14:textId="77777777" w:rsidR="00CA7557" w:rsidRDefault="00CA7557" w:rsidP="00CA7557">
          <w:pPr>
            <w:spacing w:line="259" w:lineRule="auto"/>
            <w:ind w:left="1"/>
          </w:pPr>
          <w:proofErr w:type="spellStart"/>
          <w:r>
            <w:rPr>
              <w:rFonts w:ascii="Arial" w:eastAsia="Arial" w:hAnsi="Arial" w:cs="Arial"/>
              <w:sz w:val="16"/>
            </w:rPr>
            <w:t>Oldal</w:t>
          </w:r>
          <w:proofErr w:type="spellEnd"/>
          <w:r>
            <w:rPr>
              <w:rFonts w:ascii="Arial" w:eastAsia="Arial" w:hAnsi="Arial" w:cs="Arial"/>
              <w:sz w:val="16"/>
            </w:rPr>
            <w:t xml:space="preserve"> </w:t>
          </w:r>
        </w:p>
      </w:tc>
      <w:tc>
        <w:tcPr>
          <w:tcW w:w="12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4E677F" w14:textId="43600309" w:rsidR="00CA7557" w:rsidRDefault="00CA7557" w:rsidP="00CA7557">
          <w:pPr>
            <w:spacing w:line="259" w:lineRule="auto"/>
            <w:ind w:left="1"/>
          </w:pPr>
          <w:r>
            <w:rPr>
              <w:rFonts w:ascii="Arial" w:eastAsia="Arial" w:hAnsi="Arial" w:cs="Arial"/>
            </w:rPr>
            <w:t>13</w:t>
          </w: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9E56254" w14:textId="77777777" w:rsidR="00CA7557" w:rsidRDefault="00CA7557" w:rsidP="00CA7557">
          <w:pPr>
            <w:spacing w:after="160" w:line="259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FA1FA3" w14:textId="77777777" w:rsidR="00CA7557" w:rsidRDefault="00CA7557" w:rsidP="00CA7557">
          <w:pPr>
            <w:spacing w:after="160" w:line="259" w:lineRule="auto"/>
          </w:pPr>
        </w:p>
      </w:tc>
    </w:tr>
  </w:tbl>
  <w:p w14:paraId="531126EB" w14:textId="77777777" w:rsidR="00CA7557" w:rsidRDefault="00CA755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4372A" w14:textId="77777777" w:rsidR="00CA7557" w:rsidRDefault="00CA75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781"/>
    <w:multiLevelType w:val="multilevel"/>
    <w:tmpl w:val="E154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4F02C17"/>
    <w:multiLevelType w:val="multilevel"/>
    <w:tmpl w:val="41A84FDE"/>
    <w:lvl w:ilvl="0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630"/>
        </w:tabs>
        <w:ind w:left="163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90"/>
        </w:tabs>
        <w:ind w:left="199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10"/>
        </w:tabs>
        <w:ind w:left="271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70"/>
        </w:tabs>
        <w:ind w:left="307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90"/>
        </w:tabs>
        <w:ind w:left="379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50"/>
        </w:tabs>
        <w:ind w:left="415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C4B22DB"/>
    <w:multiLevelType w:val="multilevel"/>
    <w:tmpl w:val="EE5C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01920F4"/>
    <w:multiLevelType w:val="multilevel"/>
    <w:tmpl w:val="CB86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4644D8E"/>
    <w:multiLevelType w:val="multilevel"/>
    <w:tmpl w:val="2E582B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618102F"/>
    <w:multiLevelType w:val="multilevel"/>
    <w:tmpl w:val="23FE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ABC205B"/>
    <w:multiLevelType w:val="multilevel"/>
    <w:tmpl w:val="060C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D781B5D"/>
    <w:multiLevelType w:val="multilevel"/>
    <w:tmpl w:val="D13A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3185816"/>
    <w:multiLevelType w:val="multilevel"/>
    <w:tmpl w:val="F8A4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66726424"/>
    <w:multiLevelType w:val="multilevel"/>
    <w:tmpl w:val="027E0088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7EE6E0D"/>
    <w:multiLevelType w:val="multilevel"/>
    <w:tmpl w:val="5CB85112"/>
    <w:lvl w:ilvl="0">
      <w:start w:val="1"/>
      <w:numFmt w:val="lowerLetter"/>
      <w:lvlText w:val="%1)"/>
      <w:lvlJc w:val="left"/>
      <w:pPr>
        <w:tabs>
          <w:tab w:val="num" w:pos="754"/>
        </w:tabs>
        <w:ind w:left="754" w:hanging="397"/>
      </w:pPr>
    </w:lvl>
    <w:lvl w:ilvl="1">
      <w:start w:val="1"/>
      <w:numFmt w:val="lowerLetter"/>
      <w:lvlText w:val="%2."/>
      <w:lvlJc w:val="left"/>
      <w:pPr>
        <w:tabs>
          <w:tab w:val="num" w:pos="1151"/>
        </w:tabs>
        <w:ind w:left="1151" w:hanging="397"/>
      </w:pPr>
    </w:lvl>
    <w:lvl w:ilvl="2">
      <w:start w:val="1"/>
      <w:numFmt w:val="lowerLetter"/>
      <w:lvlText w:val="%3."/>
      <w:lvlJc w:val="left"/>
      <w:pPr>
        <w:tabs>
          <w:tab w:val="num" w:pos="1548"/>
        </w:tabs>
        <w:ind w:left="1548" w:hanging="397"/>
      </w:pPr>
    </w:lvl>
    <w:lvl w:ilvl="3">
      <w:start w:val="1"/>
      <w:numFmt w:val="lowerLetter"/>
      <w:lvlText w:val="%4."/>
      <w:lvlJc w:val="left"/>
      <w:pPr>
        <w:tabs>
          <w:tab w:val="num" w:pos="1945"/>
        </w:tabs>
        <w:ind w:left="1945" w:hanging="397"/>
      </w:pPr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</w:lvl>
  </w:abstractNum>
  <w:abstractNum w:abstractNumId="11" w15:restartNumberingAfterBreak="0">
    <w:nsid w:val="761A201F"/>
    <w:multiLevelType w:val="multilevel"/>
    <w:tmpl w:val="14568D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6B30B4B"/>
    <w:multiLevelType w:val="multilevel"/>
    <w:tmpl w:val="C722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05035056">
    <w:abstractNumId w:val="9"/>
  </w:num>
  <w:num w:numId="2" w16cid:durableId="880635523">
    <w:abstractNumId w:val="10"/>
  </w:num>
  <w:num w:numId="3" w16cid:durableId="916865708">
    <w:abstractNumId w:val="4"/>
  </w:num>
  <w:num w:numId="4" w16cid:durableId="278607016">
    <w:abstractNumId w:val="3"/>
  </w:num>
  <w:num w:numId="5" w16cid:durableId="154300282">
    <w:abstractNumId w:val="7"/>
  </w:num>
  <w:num w:numId="6" w16cid:durableId="1347560605">
    <w:abstractNumId w:val="8"/>
  </w:num>
  <w:num w:numId="7" w16cid:durableId="1463228031">
    <w:abstractNumId w:val="5"/>
  </w:num>
  <w:num w:numId="8" w16cid:durableId="1425881136">
    <w:abstractNumId w:val="1"/>
  </w:num>
  <w:num w:numId="9" w16cid:durableId="581833697">
    <w:abstractNumId w:val="2"/>
  </w:num>
  <w:num w:numId="10" w16cid:durableId="1125543257">
    <w:abstractNumId w:val="6"/>
  </w:num>
  <w:num w:numId="11" w16cid:durableId="568536725">
    <w:abstractNumId w:val="0"/>
  </w:num>
  <w:num w:numId="12" w16cid:durableId="614289702">
    <w:abstractNumId w:val="12"/>
  </w:num>
  <w:num w:numId="13" w16cid:durableId="16914460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CD"/>
    <w:rsid w:val="00041616"/>
    <w:rsid w:val="000B56AF"/>
    <w:rsid w:val="00126E93"/>
    <w:rsid w:val="00221E08"/>
    <w:rsid w:val="002A3E63"/>
    <w:rsid w:val="003E04CD"/>
    <w:rsid w:val="004A3C27"/>
    <w:rsid w:val="00574C13"/>
    <w:rsid w:val="006A1164"/>
    <w:rsid w:val="00703FA6"/>
    <w:rsid w:val="008874B1"/>
    <w:rsid w:val="008C4B5C"/>
    <w:rsid w:val="008F614D"/>
    <w:rsid w:val="00A10BF3"/>
    <w:rsid w:val="00A23B12"/>
    <w:rsid w:val="00CA7557"/>
    <w:rsid w:val="00DC45FF"/>
    <w:rsid w:val="00F05102"/>
    <w:rsid w:val="00F43C70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50675"/>
  <w15:docId w15:val="{0982EF4C-489F-4C45-9030-225CEC1F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</w:pPr>
  </w:style>
  <w:style w:type="paragraph" w:styleId="Nadpis1">
    <w:name w:val="heading 1"/>
    <w:basedOn w:val="Heading"/>
    <w:next w:val="Zkladntext"/>
    <w:uiPriority w:val="9"/>
    <w:qFormat/>
    <w:pPr>
      <w:numPr>
        <w:numId w:val="1"/>
      </w:numPr>
      <w:ind w:left="1134" w:hanging="1134"/>
      <w:outlineLvl w:val="0"/>
    </w:pPr>
    <w:rPr>
      <w:b/>
      <w:bCs/>
      <w:szCs w:val="36"/>
    </w:rPr>
  </w:style>
  <w:style w:type="paragraph" w:styleId="Nadpis2">
    <w:name w:val="heading 2"/>
    <w:basedOn w:val="Heading"/>
    <w:next w:val="Zkladntext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26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80"/>
      <w:u w:val="single"/>
    </w:rPr>
  </w:style>
  <w:style w:type="character" w:customStyle="1" w:styleId="IndexLink">
    <w:name w:val="Index Link"/>
    <w:qFormat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Zkladntext">
    <w:name w:val="Body Text"/>
    <w:basedOn w:val="Normlny"/>
    <w:pPr>
      <w:keepLines/>
      <w:widowControl w:val="0"/>
      <w:spacing w:after="140" w:line="360" w:lineRule="auto"/>
      <w:jc w:val="both"/>
    </w:pPr>
    <w:rPr>
      <w:rFonts w:ascii="Liberation Sans" w:hAnsi="Liberation Sans"/>
    </w:r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Nzov">
    <w:name w:val="Title"/>
    <w:basedOn w:val="Heading"/>
    <w:next w:val="Zkladntext"/>
    <w:uiPriority w:val="10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Heading"/>
    <w:next w:val="Zkladntext"/>
    <w:uiPriority w:val="11"/>
    <w:qFormat/>
    <w:pPr>
      <w:spacing w:before="60"/>
      <w:jc w:val="center"/>
    </w:pPr>
    <w:rPr>
      <w:sz w:val="36"/>
      <w:szCs w:val="36"/>
    </w:rPr>
  </w:style>
  <w:style w:type="paragraph" w:styleId="Nadpisregistra">
    <w:name w:val="index heading"/>
    <w:basedOn w:val="Heading"/>
    <w:pPr>
      <w:suppressLineNumbers/>
    </w:pPr>
    <w:rPr>
      <w:b/>
      <w:bCs/>
      <w:sz w:val="32"/>
      <w:szCs w:val="32"/>
    </w:rPr>
  </w:style>
  <w:style w:type="paragraph" w:styleId="Hlavikaobsahu">
    <w:name w:val="TOC Heading"/>
    <w:basedOn w:val="Nadpisregistra"/>
  </w:style>
  <w:style w:type="paragraph" w:styleId="Obsah1">
    <w:name w:val="toc 1"/>
    <w:basedOn w:val="Index"/>
    <w:pPr>
      <w:tabs>
        <w:tab w:val="right" w:leader="dot" w:pos="9638"/>
      </w:tabs>
    </w:pPr>
  </w:style>
  <w:style w:type="paragraph" w:styleId="Obsah2">
    <w:name w:val="toc 2"/>
    <w:basedOn w:val="Index"/>
    <w:pPr>
      <w:tabs>
        <w:tab w:val="right" w:leader="dot" w:pos="9638"/>
      </w:tabs>
      <w:ind w:left="283"/>
    </w:pPr>
  </w:style>
  <w:style w:type="paragraph" w:customStyle="1" w:styleId="HeaderandFooter">
    <w:name w:val="Header and Footer"/>
    <w:basedOn w:val="Normlny"/>
    <w:qFormat/>
    <w:pPr>
      <w:suppressLineNumbers/>
      <w:tabs>
        <w:tab w:val="center" w:pos="4819"/>
        <w:tab w:val="right" w:pos="9638"/>
      </w:tabs>
    </w:pPr>
  </w:style>
  <w:style w:type="paragraph" w:styleId="Pta">
    <w:name w:val="footer"/>
    <w:basedOn w:val="HeaderandFooter"/>
  </w:style>
  <w:style w:type="paragraph" w:styleId="Odsekzoznamu">
    <w:name w:val="List Paragraph"/>
    <w:basedOn w:val="Normlny"/>
    <w:qFormat/>
    <w:pPr>
      <w:widowControl w:val="0"/>
      <w:spacing w:before="120"/>
      <w:ind w:left="1839" w:hanging="361"/>
    </w:pPr>
    <w:rPr>
      <w:rFonts w:ascii="Arial" w:eastAsia="Arial" w:hAnsi="Arial" w:cs="Arial"/>
      <w:sz w:val="22"/>
      <w:szCs w:val="22"/>
      <w:lang w:val="en-US"/>
    </w:rPr>
  </w:style>
  <w:style w:type="paragraph" w:customStyle="1" w:styleId="uj">
    <w:name w:val="uj"/>
    <w:basedOn w:val="Normlny"/>
    <w:qFormat/>
    <w:pPr>
      <w:spacing w:before="280" w:after="280"/>
    </w:pPr>
    <w:rPr>
      <w:rFonts w:ascii="Times New Roman" w:eastAsia="Times New Roman" w:hAnsi="Times New Roman" w:cs="Times New Roman"/>
      <w:lang w:eastAsia="hu-HU"/>
    </w:rPr>
  </w:style>
  <w:style w:type="numbering" w:customStyle="1" w:styleId="Numberingabc">
    <w:name w:val="Numbering abc"/>
    <w:qFormat/>
  </w:style>
  <w:style w:type="paragraph" w:styleId="Hlavika">
    <w:name w:val="header"/>
    <w:basedOn w:val="Normlny"/>
    <w:link w:val="HlavikaChar"/>
    <w:uiPriority w:val="99"/>
    <w:unhideWhenUsed/>
    <w:rsid w:val="00CA75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CA7557"/>
    <w:rPr>
      <w:rFonts w:cs="Mangal"/>
      <w:szCs w:val="21"/>
    </w:rPr>
  </w:style>
  <w:style w:type="table" w:customStyle="1" w:styleId="TableGrid">
    <w:name w:val="TableGrid"/>
    <w:rsid w:val="00CA7557"/>
    <w:pPr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val="sk-SK" w:eastAsia="sk-SK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22B64-6EE5-4792-B4AE-EDF90DE0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3219</Words>
  <Characters>18349</Characters>
  <Application>Microsoft Office Word</Application>
  <DocSecurity>0</DocSecurity>
  <Lines>152</Lines>
  <Paragraphs>43</Paragraphs>
  <ScaleCrop>false</ScaleCrop>
  <Company/>
  <LinksUpToDate>false</LinksUpToDate>
  <CharactersWithSpaces>21525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Mäsiar</dc:creator>
  <dc:description/>
  <cp:lastModifiedBy>Alexandra Mičo</cp:lastModifiedBy>
  <cp:revision>9</cp:revision>
  <dcterms:created xsi:type="dcterms:W3CDTF">2024-08-02T13:34:00Z</dcterms:created>
  <dcterms:modified xsi:type="dcterms:W3CDTF">2026-06-19T05:41:00Z</dcterms:modified>
  <dc:language>hu-HU</dc:language>
</cp:coreProperties>
</file>